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6279F2A6" w:rsidR="00FA638A" w:rsidRDefault="00E6567C" w:rsidP="00172C62">
            <w:pPr>
              <w:ind w:left="0" w:hanging="2"/>
              <w:jc w:val="center"/>
              <w:rPr>
                <w:rFonts w:ascii="Calibri" w:eastAsia="Calibri" w:hAnsi="Calibri" w:cs="Calibri"/>
                <w:sz w:val="22"/>
                <w:szCs w:val="22"/>
              </w:rPr>
            </w:pPr>
            <w:r>
              <w:rPr>
                <w:rFonts w:ascii="Calibri" w:eastAsia="Calibri" w:hAnsi="Calibri" w:cs="Calibri"/>
                <w:sz w:val="22"/>
                <w:szCs w:val="22"/>
              </w:rPr>
              <w:t>30</w:t>
            </w:r>
            <w:r w:rsidR="00172C62">
              <w:rPr>
                <w:rFonts w:ascii="Calibri" w:eastAsia="Calibri" w:hAnsi="Calibri" w:cs="Calibri"/>
                <w:sz w:val="22"/>
                <w:szCs w:val="22"/>
              </w:rPr>
              <w:t>/0</w:t>
            </w:r>
            <w:r>
              <w:rPr>
                <w:rFonts w:ascii="Calibri" w:eastAsia="Calibri" w:hAnsi="Calibri" w:cs="Calibri"/>
                <w:sz w:val="22"/>
                <w:szCs w:val="22"/>
              </w:rPr>
              <w:t>5</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137BB1FF" w:rsidR="00FA638A" w:rsidRDefault="00D72C2D">
            <w:pPr>
              <w:ind w:left="0" w:hanging="2"/>
              <w:jc w:val="center"/>
              <w:rPr>
                <w:rFonts w:ascii="Calibri" w:eastAsia="Calibri" w:hAnsi="Calibri" w:cs="Calibri"/>
                <w:sz w:val="22"/>
                <w:szCs w:val="22"/>
              </w:rPr>
            </w:pPr>
            <w:r>
              <w:rPr>
                <w:rFonts w:ascii="Calibri" w:eastAsia="Calibri" w:hAnsi="Calibri" w:cs="Calibri"/>
                <w:sz w:val="22"/>
                <w:szCs w:val="22"/>
              </w:rPr>
              <w:t>KEVIN SANCHEZ JIMENEZ</w:t>
            </w:r>
          </w:p>
        </w:tc>
        <w:tc>
          <w:tcPr>
            <w:tcW w:w="2544" w:type="dxa"/>
          </w:tcPr>
          <w:p w14:paraId="193D1DEC" w14:textId="2D9AB6F2" w:rsidR="00FA638A" w:rsidRDefault="00325678">
            <w:pPr>
              <w:ind w:left="0" w:hanging="2"/>
              <w:rPr>
                <w:rFonts w:ascii="Calibri" w:eastAsia="Calibri" w:hAnsi="Calibri" w:cs="Calibri"/>
                <w:sz w:val="22"/>
                <w:szCs w:val="22"/>
              </w:rPr>
            </w:pPr>
            <w:r>
              <w:rPr>
                <w:rFonts w:ascii="Calibri" w:eastAsia="Calibri" w:hAnsi="Calibri" w:cs="Calibri"/>
                <w:sz w:val="22"/>
                <w:szCs w:val="22"/>
              </w:rPr>
              <w:t>1088539245</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155CFD5C" w:rsidR="00B61D7E" w:rsidRDefault="00E6567C">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 xml:space="preserve">3120 </w:t>
            </w:r>
            <w:proofErr w:type="spellStart"/>
            <w:r>
              <w:t>Hr</w:t>
            </w:r>
            <w:proofErr w:type="spellEnd"/>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 xml:space="preserve">864 </w:t>
            </w:r>
            <w:proofErr w:type="spellStart"/>
            <w:r>
              <w:t>Hr</w:t>
            </w:r>
            <w:proofErr w:type="spellEnd"/>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 xml:space="preserve">3984 </w:t>
            </w:r>
            <w:proofErr w:type="spellStart"/>
            <w:r>
              <w:t>Hr</w:t>
            </w:r>
            <w:proofErr w:type="spellEnd"/>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56455993"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3D8A36D7" w14:textId="77777777" w:rsidR="00CD03AE" w:rsidRPr="005F71A5" w:rsidRDefault="00CD03AE" w:rsidP="00CD03AE">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7A66B928"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51DA38AE"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BD3C82" w:rsidR="007F5DA3" w:rsidRPr="007F5DA3" w:rsidRDefault="00CD03AE" w:rsidP="00CD03AE">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3F541E57" w:rsidR="00FA638A"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2"/>
          <w:szCs w:val="22"/>
        </w:rPr>
      </w:pPr>
      <w:r w:rsidRPr="002C6562">
        <w:rPr>
          <w:rFonts w:ascii="Calibri" w:eastAsia="Calibri" w:hAnsi="Calibri" w:cs="Calibri"/>
          <w:b/>
          <w:color w:val="000000"/>
          <w:sz w:val="22"/>
          <w:szCs w:val="22"/>
        </w:rPr>
        <w:t>INSTRUCCIONES DE DILIGENCIAMIENTO</w:t>
      </w:r>
    </w:p>
    <w:p w14:paraId="191CC780" w14:textId="77777777" w:rsidR="002C6562" w:rsidRPr="002C6562" w:rsidRDefault="002C6562" w:rsidP="002C6562">
      <w:pPr>
        <w:keepNext/>
        <w:pBdr>
          <w:top w:val="nil"/>
          <w:left w:val="nil"/>
          <w:bottom w:val="nil"/>
          <w:right w:val="nil"/>
          <w:between w:val="nil"/>
        </w:pBdr>
        <w:spacing w:line="240" w:lineRule="auto"/>
        <w:ind w:leftChars="0" w:left="0" w:firstLineChars="0" w:firstLine="0"/>
        <w:rPr>
          <w:rFonts w:ascii="Calibri" w:eastAsia="Calibri" w:hAnsi="Calibri" w:cs="Calibri"/>
          <w:b/>
          <w:color w:val="000000"/>
          <w:sz w:val="22"/>
          <w:szCs w:val="22"/>
        </w:rPr>
      </w:pPr>
    </w:p>
    <w:p w14:paraId="0E620999" w14:textId="5DAC0B18" w:rsidR="00006EF6" w:rsidRPr="002C6562" w:rsidRDefault="00204798"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 xml:space="preserve">desarrollo de la </w:t>
      </w:r>
      <w:r w:rsidR="002C0509" w:rsidRPr="002C6562">
        <w:rPr>
          <w:rFonts w:ascii="Calibri" w:hAnsi="Calibri" w:cs="Calibri"/>
          <w:sz w:val="22"/>
          <w:szCs w:val="22"/>
        </w:rPr>
        <w:t>presente actividad</w:t>
      </w:r>
      <w:r w:rsidRPr="002C6562">
        <w:rPr>
          <w:rFonts w:ascii="Calibri" w:hAnsi="Calibri" w:cs="Calibri"/>
          <w:spacing w:val="1"/>
          <w:sz w:val="22"/>
          <w:szCs w:val="22"/>
        </w:rPr>
        <w:t xml:space="preserve"> </w:t>
      </w:r>
      <w:r w:rsidR="00C84A0A" w:rsidRPr="002C6562">
        <w:rPr>
          <w:rFonts w:ascii="Calibri" w:hAnsi="Calibri" w:cs="Calibri"/>
          <w:spacing w:val="1"/>
          <w:sz w:val="22"/>
          <w:szCs w:val="22"/>
        </w:rPr>
        <w:t xml:space="preserve">N°2 </w:t>
      </w:r>
      <w:r w:rsidR="009A40A9">
        <w:rPr>
          <w:rFonts w:ascii="Calibri" w:hAnsi="Calibri" w:cs="Calibri"/>
          <w:spacing w:val="1"/>
          <w:sz w:val="22"/>
          <w:szCs w:val="22"/>
        </w:rPr>
        <w:t xml:space="preserve">sobre las normas deberes y derechos del profesional en topografía como los campos de aplicación laboral de sus actividades </w:t>
      </w:r>
      <w:r w:rsidRPr="002C6562">
        <w:rPr>
          <w:rFonts w:ascii="Calibri" w:hAnsi="Calibri" w:cs="Calibri"/>
          <w:sz w:val="22"/>
          <w:szCs w:val="22"/>
        </w:rPr>
        <w:t>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competenci</w:t>
      </w:r>
      <w:r w:rsidR="00462BB0" w:rsidRPr="002C6562">
        <w:rPr>
          <w:rFonts w:ascii="Calibri" w:hAnsi="Calibri" w:cs="Calibri"/>
          <w:sz w:val="22"/>
          <w:szCs w:val="22"/>
        </w:rPr>
        <w:t xml:space="preserve">a levantamiento de terrenos </w:t>
      </w:r>
      <w:proofErr w:type="spellStart"/>
      <w:r w:rsidR="00462BB0" w:rsidRPr="002C6562">
        <w:rPr>
          <w:rFonts w:ascii="Calibri" w:hAnsi="Calibri" w:cs="Calibri"/>
          <w:sz w:val="22"/>
          <w:szCs w:val="22"/>
        </w:rPr>
        <w:t>planimétricamente</w:t>
      </w:r>
      <w:proofErr w:type="spellEnd"/>
      <w:r w:rsidRPr="002C6562">
        <w:rPr>
          <w:rFonts w:ascii="Calibri" w:hAnsi="Calibri" w:cs="Calibri"/>
          <w:sz w:val="22"/>
          <w:szCs w:val="22"/>
        </w:rPr>
        <w:t>,</w:t>
      </w:r>
      <w:r w:rsidRPr="002C6562">
        <w:rPr>
          <w:rFonts w:ascii="Calibri" w:hAnsi="Calibri" w:cs="Calibri"/>
          <w:spacing w:val="1"/>
          <w:sz w:val="22"/>
          <w:szCs w:val="22"/>
        </w:rPr>
        <w:t xml:space="preserve"> </w:t>
      </w:r>
      <w:r w:rsidR="00D21E27" w:rsidRPr="002C6562">
        <w:rPr>
          <w:rFonts w:ascii="Calibri" w:hAnsi="Calibri" w:cs="Calibri"/>
          <w:sz w:val="22"/>
          <w:szCs w:val="22"/>
        </w:rPr>
        <w:t>Realizar la</w:t>
      </w:r>
      <w:r w:rsidR="00006EF6" w:rsidRPr="002C6562">
        <w:rPr>
          <w:rFonts w:ascii="Calibri" w:hAnsi="Calibri" w:cs="Calibri"/>
          <w:sz w:val="22"/>
          <w:szCs w:val="22"/>
        </w:rPr>
        <w:t>s</w:t>
      </w:r>
      <w:r w:rsidR="00D21E27" w:rsidRPr="002C6562">
        <w:rPr>
          <w:rFonts w:ascii="Calibri" w:hAnsi="Calibri" w:cs="Calibri"/>
          <w:sz w:val="22"/>
          <w:szCs w:val="22"/>
        </w:rPr>
        <w:t xml:space="preserve"> lectura</w:t>
      </w:r>
      <w:r w:rsidR="00006EF6" w:rsidRPr="002C6562">
        <w:rPr>
          <w:rFonts w:ascii="Calibri" w:hAnsi="Calibri" w:cs="Calibri"/>
          <w:sz w:val="22"/>
          <w:szCs w:val="22"/>
        </w:rPr>
        <w:t>s</w:t>
      </w:r>
      <w:r w:rsidR="00D21E27" w:rsidRPr="002C6562">
        <w:rPr>
          <w:rFonts w:ascii="Calibri" w:hAnsi="Calibri" w:cs="Calibri"/>
          <w:sz w:val="22"/>
          <w:szCs w:val="22"/>
        </w:rPr>
        <w:t xml:space="preserve"> </w:t>
      </w:r>
      <w:r w:rsidR="00006EF6" w:rsidRPr="002C6562">
        <w:rPr>
          <w:rFonts w:ascii="Calibri" w:hAnsi="Calibri" w:cs="Calibri"/>
          <w:sz w:val="22"/>
          <w:szCs w:val="22"/>
        </w:rPr>
        <w:t>de los siguientes</w:t>
      </w:r>
      <w:r w:rsidR="00D21E27" w:rsidRPr="002C6562">
        <w:rPr>
          <w:rFonts w:ascii="Calibri" w:hAnsi="Calibri" w:cs="Calibri"/>
          <w:sz w:val="22"/>
          <w:szCs w:val="22"/>
        </w:rPr>
        <w:t xml:space="preserve"> Link</w:t>
      </w:r>
      <w:r w:rsidR="00006EF6" w:rsidRPr="002C6562">
        <w:rPr>
          <w:rFonts w:ascii="Calibri" w:hAnsi="Calibri" w:cs="Calibri"/>
          <w:bCs/>
          <w:sz w:val="22"/>
          <w:szCs w:val="22"/>
        </w:rPr>
        <w:t>s y resuelva las siguientes preguntas</w:t>
      </w:r>
      <w:r w:rsidR="002C6562">
        <w:rPr>
          <w:rFonts w:ascii="Calibri" w:hAnsi="Calibri" w:cs="Calibri"/>
          <w:bCs/>
          <w:sz w:val="22"/>
          <w:szCs w:val="22"/>
        </w:rPr>
        <w:t>.</w:t>
      </w:r>
    </w:p>
    <w:p w14:paraId="23E65ABA"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66DB18C9" w14:textId="7E52C47C"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D8834F7" w14:textId="46334725"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bCs/>
          <w:sz w:val="22"/>
          <w:szCs w:val="22"/>
        </w:rPr>
        <w:t xml:space="preserve">Levantamientos </w:t>
      </w:r>
      <w:r w:rsidR="002C6562" w:rsidRPr="002C6562">
        <w:rPr>
          <w:rFonts w:ascii="Calibri" w:hAnsi="Calibri" w:cs="Calibri"/>
          <w:bCs/>
          <w:sz w:val="22"/>
          <w:szCs w:val="22"/>
        </w:rPr>
        <w:t>Topográficos</w:t>
      </w:r>
      <w:r w:rsidRPr="002C6562">
        <w:rPr>
          <w:rFonts w:ascii="Calibri" w:hAnsi="Calibri" w:cs="Calibri"/>
          <w:bCs/>
          <w:sz w:val="22"/>
          <w:szCs w:val="22"/>
        </w:rPr>
        <w:t>.</w:t>
      </w:r>
    </w:p>
    <w:p w14:paraId="35C9CE8D"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50D3E4FF" w14:textId="4848D7B6" w:rsidR="00204798" w:rsidRPr="002C6562" w:rsidRDefault="00D21E27" w:rsidP="00D21E27">
      <w:pPr>
        <w:pStyle w:val="Textoindependiente"/>
        <w:spacing w:line="240" w:lineRule="auto"/>
        <w:ind w:left="0" w:right="714" w:hanging="2"/>
        <w:jc w:val="left"/>
        <w:rPr>
          <w:rFonts w:ascii="Calibri" w:hAnsi="Calibri" w:cs="Calibri"/>
          <w:sz w:val="22"/>
          <w:szCs w:val="22"/>
        </w:rPr>
      </w:pPr>
      <w:r w:rsidRPr="002C6562">
        <w:rPr>
          <w:rFonts w:ascii="Calibri" w:hAnsi="Calibri" w:cs="Calibri"/>
          <w:bCs/>
          <w:sz w:val="22"/>
          <w:szCs w:val="22"/>
        </w:rPr>
        <w:t>http://topografialeo.blogspot.com/2012/08/normatiividad-legal-entopografia.html</w:t>
      </w:r>
      <w:r w:rsidR="00204798" w:rsidRPr="002C6562">
        <w:rPr>
          <w:rFonts w:ascii="Calibri" w:hAnsi="Calibri" w:cs="Calibri"/>
          <w:sz w:val="22"/>
          <w:szCs w:val="22"/>
        </w:rPr>
        <w:t xml:space="preserve"> </w:t>
      </w:r>
    </w:p>
    <w:p w14:paraId="3A9E692E" w14:textId="7E594431" w:rsidR="00D21E27" w:rsidRPr="002C6562" w:rsidRDefault="00D21E27">
      <w:pPr>
        <w:ind w:left="0" w:hanging="2"/>
        <w:jc w:val="both"/>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177A67C8" w14:textId="77777777" w:rsidR="00006EF6" w:rsidRPr="002C6562" w:rsidRDefault="00006EF6">
      <w:pPr>
        <w:ind w:left="0" w:hanging="2"/>
        <w:jc w:val="both"/>
        <w:rPr>
          <w:rFonts w:ascii="Calibri" w:eastAsia="Calibri" w:hAnsi="Calibri" w:cs="Calibri"/>
          <w:sz w:val="22"/>
          <w:szCs w:val="22"/>
        </w:rPr>
      </w:pPr>
    </w:p>
    <w:p w14:paraId="772142AD" w14:textId="150FBAB5" w:rsidR="0015492D"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Duración de la Pr</w:t>
      </w:r>
      <w:r w:rsidR="007472E9" w:rsidRPr="002C6562">
        <w:rPr>
          <w:rFonts w:ascii="Calibri" w:eastAsia="Calibri" w:hAnsi="Calibri" w:cs="Calibri"/>
          <w:sz w:val="22"/>
          <w:szCs w:val="22"/>
        </w:rPr>
        <w:t>actica</w:t>
      </w:r>
      <w:r w:rsidRPr="002C6562">
        <w:rPr>
          <w:rFonts w:ascii="Calibri" w:eastAsia="Calibri" w:hAnsi="Calibri" w:cs="Calibri"/>
          <w:sz w:val="22"/>
          <w:szCs w:val="22"/>
        </w:rPr>
        <w:t xml:space="preserve">: </w:t>
      </w:r>
      <w:r w:rsidR="007472E9" w:rsidRPr="002C6562">
        <w:rPr>
          <w:rFonts w:ascii="Calibri" w:eastAsia="Calibri" w:hAnsi="Calibri" w:cs="Calibri"/>
          <w:sz w:val="22"/>
          <w:szCs w:val="22"/>
          <w:u w:val="single"/>
        </w:rPr>
        <w:t>24</w:t>
      </w:r>
      <w:r w:rsidR="00204798" w:rsidRPr="002C6562">
        <w:rPr>
          <w:rFonts w:ascii="Calibri" w:eastAsia="Calibri" w:hAnsi="Calibri" w:cs="Calibri"/>
          <w:sz w:val="22"/>
          <w:szCs w:val="22"/>
          <w:u w:val="single"/>
        </w:rPr>
        <w:t>0</w:t>
      </w:r>
      <w:r w:rsidRPr="002C6562">
        <w:rPr>
          <w:rFonts w:ascii="Calibri" w:eastAsia="Calibri" w:hAnsi="Calibri" w:cs="Calibri"/>
          <w:sz w:val="22"/>
          <w:szCs w:val="22"/>
          <w:u w:val="single"/>
        </w:rPr>
        <w:t xml:space="preserve"> minutos</w:t>
      </w:r>
      <w:r w:rsidRPr="002C6562">
        <w:rPr>
          <w:rFonts w:ascii="Calibri" w:eastAsia="Calibri" w:hAnsi="Calibri" w:cs="Calibri"/>
          <w:sz w:val="22"/>
          <w:szCs w:val="22"/>
        </w:rPr>
        <w:t xml:space="preserve"> </w:t>
      </w:r>
    </w:p>
    <w:p w14:paraId="5794C680" w14:textId="2A5AC416"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 xml:space="preserve">             </w:t>
      </w:r>
    </w:p>
    <w:p w14:paraId="018FF5D2" w14:textId="68B18B01"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Sitio de Aplicación:</w:t>
      </w:r>
      <w:r w:rsidR="001D5E0D" w:rsidRPr="002C6562">
        <w:rPr>
          <w:rFonts w:ascii="Calibri" w:eastAsia="Calibri" w:hAnsi="Calibri" w:cs="Calibri"/>
          <w:sz w:val="22"/>
          <w:szCs w:val="22"/>
        </w:rPr>
        <w:t xml:space="preserve"> </w:t>
      </w:r>
      <w:r w:rsidR="00081A2E" w:rsidRPr="002C6562">
        <w:rPr>
          <w:rFonts w:ascii="Calibri" w:eastAsia="Calibri" w:hAnsi="Calibri" w:cs="Calibri"/>
          <w:sz w:val="22"/>
          <w:szCs w:val="22"/>
        </w:rPr>
        <w:t xml:space="preserve">Ambiente de </w:t>
      </w:r>
      <w:r w:rsidR="00BE7B39" w:rsidRPr="002C6562">
        <w:rPr>
          <w:rFonts w:ascii="Calibri" w:eastAsia="Calibri" w:hAnsi="Calibri" w:cs="Calibri"/>
          <w:sz w:val="22"/>
          <w:szCs w:val="22"/>
        </w:rPr>
        <w:t>Formación</w:t>
      </w:r>
      <w:r w:rsidR="00A75BCE" w:rsidRPr="002C6562">
        <w:rPr>
          <w:rFonts w:ascii="Calibri" w:eastAsia="Calibri" w:hAnsi="Calibri" w:cs="Calibri"/>
          <w:sz w:val="22"/>
          <w:szCs w:val="22"/>
        </w:rPr>
        <w:t xml:space="preserve"> CDITI</w:t>
      </w:r>
      <w:r w:rsidR="001D5E0D" w:rsidRPr="002C6562">
        <w:rPr>
          <w:rFonts w:ascii="Calibri" w:eastAsia="Calibri" w:hAnsi="Calibri" w:cs="Calibri"/>
          <w:sz w:val="22"/>
          <w:szCs w:val="22"/>
        </w:rPr>
        <w:t xml:space="preserve"> Sena.</w:t>
      </w:r>
    </w:p>
    <w:p w14:paraId="124385FA" w14:textId="77777777" w:rsidR="0015492D" w:rsidRPr="002C6562" w:rsidRDefault="0015492D">
      <w:pPr>
        <w:ind w:left="0" w:hanging="2"/>
        <w:jc w:val="both"/>
        <w:rPr>
          <w:rFonts w:ascii="Calibri" w:eastAsia="Calibri" w:hAnsi="Calibri" w:cs="Calibri"/>
          <w:sz w:val="22"/>
          <w:szCs w:val="22"/>
          <w:u w:val="single"/>
        </w:rPr>
      </w:pPr>
    </w:p>
    <w:p w14:paraId="0AD61A30" w14:textId="437775FA" w:rsidR="00FA638A" w:rsidRPr="002C6562" w:rsidRDefault="00B4067F">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b/>
          <w:color w:val="000000"/>
          <w:sz w:val="22"/>
          <w:szCs w:val="22"/>
        </w:rPr>
        <w:t>Instrucciones para desarrollar el instrumento</w:t>
      </w:r>
      <w:r w:rsidRPr="002C6562">
        <w:rPr>
          <w:rFonts w:ascii="Calibri" w:eastAsia="Calibri" w:hAnsi="Calibri" w:cs="Calibri"/>
          <w:color w:val="000000"/>
          <w:sz w:val="22"/>
          <w:szCs w:val="22"/>
        </w:rPr>
        <w:t>:</w:t>
      </w:r>
    </w:p>
    <w:p w14:paraId="58F5CD76" w14:textId="77777777" w:rsidR="0015492D" w:rsidRPr="002C6562" w:rsidRDefault="0015492D">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52B74CF3" w14:textId="119438B9" w:rsidR="00FA638A" w:rsidRPr="002C6562" w:rsidRDefault="00B4067F">
      <w:pPr>
        <w:numPr>
          <w:ilvl w:val="0"/>
          <w:numId w:val="3"/>
        </w:num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color w:val="000000"/>
          <w:sz w:val="22"/>
          <w:szCs w:val="22"/>
        </w:rPr>
        <w:t xml:space="preserve">Lea cuidadosamente </w:t>
      </w:r>
      <w:r w:rsidR="005D0A1C" w:rsidRPr="002C6562">
        <w:rPr>
          <w:rFonts w:ascii="Calibri" w:eastAsia="Calibri" w:hAnsi="Calibri" w:cs="Calibri"/>
          <w:color w:val="000000"/>
          <w:sz w:val="22"/>
          <w:szCs w:val="22"/>
        </w:rPr>
        <w:t>los</w:t>
      </w:r>
      <w:r w:rsidRPr="002C6562">
        <w:rPr>
          <w:rFonts w:ascii="Calibri" w:eastAsia="Calibri" w:hAnsi="Calibri" w:cs="Calibri"/>
          <w:color w:val="000000"/>
          <w:sz w:val="22"/>
          <w:szCs w:val="22"/>
        </w:rPr>
        <w:t xml:space="preserve"> enunciado</w:t>
      </w:r>
      <w:r w:rsidR="005D0A1C" w:rsidRPr="002C6562">
        <w:rPr>
          <w:rFonts w:ascii="Calibri" w:eastAsia="Calibri" w:hAnsi="Calibri" w:cs="Calibri"/>
          <w:color w:val="000000"/>
          <w:sz w:val="22"/>
          <w:szCs w:val="22"/>
        </w:rPr>
        <w:t>s</w:t>
      </w:r>
      <w:r w:rsidR="00E77022" w:rsidRPr="002C6562">
        <w:rPr>
          <w:rFonts w:ascii="Calibri" w:eastAsia="Calibri" w:hAnsi="Calibri" w:cs="Calibri"/>
          <w:color w:val="000000"/>
          <w:sz w:val="22"/>
          <w:szCs w:val="22"/>
        </w:rPr>
        <w:t xml:space="preserve"> que les propone el instructor</w:t>
      </w:r>
    </w:p>
    <w:p w14:paraId="25FE587D" w14:textId="77777777" w:rsidR="00006EF6" w:rsidRPr="002C6562" w:rsidRDefault="00006EF6" w:rsidP="00006EF6">
      <w:pPr>
        <w:pStyle w:val="Listaconvietas"/>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99573ED" w14:textId="0E8329F1" w:rsidR="00006EF6" w:rsidRPr="002C6562" w:rsidRDefault="00006EF6" w:rsidP="00960F86">
      <w:pPr>
        <w:pStyle w:val="Listaconvietas"/>
        <w:numPr>
          <w:ilvl w:val="0"/>
          <w:numId w:val="0"/>
        </w:numPr>
        <w:ind w:firstLine="720"/>
        <w:rPr>
          <w:rFonts w:ascii="Calibri" w:hAnsi="Calibri" w:cs="Calibri"/>
          <w:sz w:val="22"/>
          <w:szCs w:val="22"/>
        </w:rPr>
      </w:pPr>
      <w:r w:rsidRPr="002C6562">
        <w:rPr>
          <w:rFonts w:ascii="Calibri" w:hAnsi="Calibri" w:cs="Calibri"/>
          <w:sz w:val="22"/>
          <w:szCs w:val="22"/>
        </w:rPr>
        <w:t>Levantamientos Topográficos.</w:t>
      </w:r>
    </w:p>
    <w:p w14:paraId="4E4F6EB1" w14:textId="79B05B4A" w:rsidR="00C84A0A" w:rsidRPr="00E6567C" w:rsidRDefault="00BE7B39" w:rsidP="00C84A0A">
      <w:pPr>
        <w:pStyle w:val="Listaconvietas"/>
        <w:jc w:val="left"/>
        <w:rPr>
          <w:rFonts w:ascii="Calibri" w:eastAsia="Calibri" w:hAnsi="Calibri" w:cs="Calibri"/>
          <w:sz w:val="22"/>
          <w:szCs w:val="22"/>
          <w:lang w:val="nl-NL"/>
        </w:rPr>
      </w:pPr>
      <w:r w:rsidRPr="00E6567C">
        <w:rPr>
          <w:rFonts w:ascii="Calibri" w:hAnsi="Calibri" w:cs="Calibri"/>
          <w:bCs/>
          <w:color w:val="000000"/>
          <w:sz w:val="22"/>
          <w:szCs w:val="22"/>
          <w:lang w:val="nl-NL"/>
        </w:rPr>
        <w:t>Link del video</w:t>
      </w:r>
      <w:r w:rsidR="00D21E27" w:rsidRPr="00E6567C">
        <w:rPr>
          <w:rFonts w:ascii="Calibri" w:hAnsi="Calibri" w:cs="Calibri"/>
          <w:bCs/>
          <w:sz w:val="22"/>
          <w:szCs w:val="22"/>
          <w:lang w:val="nl-NL"/>
        </w:rPr>
        <w:t xml:space="preserve"> link http://topografialeo.blogspot.com/2012/08/normatiividad-legal-entopografia.html</w:t>
      </w:r>
    </w:p>
    <w:p w14:paraId="307DE6A5" w14:textId="69061C15" w:rsidR="00960F86" w:rsidRPr="002C6562" w:rsidRDefault="00960F86" w:rsidP="00960F86">
      <w:pPr>
        <w:pStyle w:val="Listaconvietas"/>
        <w:numPr>
          <w:ilvl w:val="0"/>
          <w:numId w:val="0"/>
        </w:numPr>
        <w:ind w:firstLine="720"/>
        <w:jc w:val="left"/>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038C085C" w14:textId="30B525F5" w:rsidR="005D0A1C" w:rsidRPr="002C6562" w:rsidRDefault="00BE7B39" w:rsidP="00C84A0A">
      <w:pPr>
        <w:pStyle w:val="Listaconvietas"/>
        <w:jc w:val="left"/>
        <w:rPr>
          <w:rFonts w:ascii="Calibri" w:eastAsia="Calibri" w:hAnsi="Calibri" w:cs="Calibri"/>
          <w:sz w:val="22"/>
          <w:szCs w:val="22"/>
        </w:rPr>
      </w:pPr>
      <w:r w:rsidRPr="002C6562">
        <w:rPr>
          <w:rFonts w:ascii="Calibri" w:eastAsia="Calibri" w:hAnsi="Calibri" w:cs="Calibri"/>
          <w:sz w:val="22"/>
          <w:szCs w:val="22"/>
        </w:rPr>
        <w:t xml:space="preserve">Resuelva las siguientes preguntas </w:t>
      </w:r>
      <w:r w:rsidR="00C84A0A" w:rsidRPr="002C6562">
        <w:rPr>
          <w:rFonts w:ascii="Calibri" w:eastAsia="Calibri" w:hAnsi="Calibri" w:cs="Calibri"/>
          <w:sz w:val="22"/>
          <w:szCs w:val="22"/>
        </w:rPr>
        <w:t xml:space="preserve">con ayuda </w:t>
      </w:r>
      <w:r w:rsidR="005B270C" w:rsidRPr="002C6562">
        <w:rPr>
          <w:rFonts w:ascii="Calibri" w:eastAsia="Calibri" w:hAnsi="Calibri" w:cs="Calibri"/>
          <w:sz w:val="22"/>
          <w:szCs w:val="22"/>
        </w:rPr>
        <w:t>de la lectura</w:t>
      </w:r>
      <w:r w:rsidRPr="002C6562">
        <w:rPr>
          <w:rFonts w:ascii="Calibri" w:eastAsia="Calibri" w:hAnsi="Calibri" w:cs="Calibri"/>
          <w:sz w:val="22"/>
          <w:szCs w:val="22"/>
        </w:rPr>
        <w:t>.</w:t>
      </w:r>
    </w:p>
    <w:p w14:paraId="380E6E18" w14:textId="10A6E468" w:rsidR="005E38D9" w:rsidRPr="005E38D9" w:rsidRDefault="00C84A0A" w:rsidP="00201131">
      <w:pPr>
        <w:pStyle w:val="Listaconvietas"/>
        <w:pBdr>
          <w:top w:val="nil"/>
          <w:left w:val="nil"/>
          <w:bottom w:val="nil"/>
          <w:right w:val="nil"/>
          <w:between w:val="nil"/>
        </w:pBdr>
        <w:spacing w:line="240" w:lineRule="auto"/>
        <w:rPr>
          <w:rFonts w:ascii="Calibri" w:hAnsi="Calibri" w:cs="Calibri"/>
          <w:b/>
          <w:sz w:val="22"/>
          <w:szCs w:val="22"/>
        </w:rPr>
      </w:pPr>
      <w:r w:rsidRPr="002C6562">
        <w:rPr>
          <w:rFonts w:ascii="Calibri" w:hAnsi="Calibri" w:cs="Calibri"/>
          <w:sz w:val="22"/>
          <w:szCs w:val="22"/>
        </w:rPr>
        <w:t xml:space="preserve">Subir esta Actividad N°2 </w:t>
      </w:r>
      <w:r w:rsidR="00B66A39" w:rsidRPr="002C6562">
        <w:rPr>
          <w:rFonts w:ascii="Calibri" w:hAnsi="Calibri" w:cs="Calibri"/>
          <w:sz w:val="22"/>
          <w:szCs w:val="22"/>
        </w:rPr>
        <w:t xml:space="preserve">en </w:t>
      </w:r>
      <w:r w:rsidR="005E38D9">
        <w:rPr>
          <w:rFonts w:ascii="Calibri" w:hAnsi="Calibri" w:cs="Calibri"/>
          <w:sz w:val="22"/>
          <w:szCs w:val="22"/>
        </w:rPr>
        <w:t>el siguiente link:</w:t>
      </w:r>
    </w:p>
    <w:p w14:paraId="35FA2A06" w14:textId="268B1ED7" w:rsidR="00B66A39" w:rsidRPr="002C6562" w:rsidRDefault="005E38D9" w:rsidP="005E38D9">
      <w:pPr>
        <w:pStyle w:val="Listaconvietas"/>
        <w:numPr>
          <w:ilvl w:val="0"/>
          <w:numId w:val="0"/>
        </w:numPr>
        <w:pBdr>
          <w:top w:val="nil"/>
          <w:left w:val="nil"/>
          <w:bottom w:val="nil"/>
          <w:right w:val="nil"/>
          <w:between w:val="nil"/>
        </w:pBdr>
        <w:spacing w:line="240" w:lineRule="auto"/>
        <w:ind w:left="720"/>
        <w:rPr>
          <w:rFonts w:ascii="Calibri" w:hAnsi="Calibri" w:cs="Calibri"/>
          <w:b/>
          <w:sz w:val="22"/>
          <w:szCs w:val="22"/>
        </w:rPr>
      </w:pPr>
      <w:r w:rsidRPr="005E38D9">
        <w:rPr>
          <w:rFonts w:ascii="Calibri" w:hAnsi="Calibri" w:cs="Calibri"/>
          <w:sz w:val="22"/>
          <w:szCs w:val="22"/>
        </w:rPr>
        <w:t>https://drive.google.com/drive/folders/13XNIFnEpK86jQxjn8lH7KJDAhmPzGQ1u?usp=sharing</w:t>
      </w:r>
      <w:r>
        <w:rPr>
          <w:rFonts w:ascii="Calibri" w:hAnsi="Calibri" w:cs="Calibri"/>
          <w:sz w:val="22"/>
          <w:szCs w:val="22"/>
        </w:rPr>
        <w:t>,</w:t>
      </w:r>
      <w:r w:rsidR="00B66A39" w:rsidRPr="002C6562">
        <w:rPr>
          <w:rFonts w:ascii="Calibri" w:hAnsi="Calibri" w:cs="Calibri"/>
          <w:sz w:val="22"/>
          <w:szCs w:val="22"/>
        </w:rPr>
        <w:t xml:space="preserve"> </w:t>
      </w:r>
      <w:r>
        <w:rPr>
          <w:rFonts w:ascii="Calibri" w:hAnsi="Calibri" w:cs="Calibri"/>
          <w:sz w:val="22"/>
          <w:szCs w:val="22"/>
        </w:rPr>
        <w:t xml:space="preserve">        </w:t>
      </w:r>
    </w:p>
    <w:p w14:paraId="1AD1FE49" w14:textId="2B700864" w:rsidR="00B66A39" w:rsidRPr="002C6562" w:rsidRDefault="005E38D9" w:rsidP="005E38D9">
      <w:pPr>
        <w:pStyle w:val="Listaconvietas"/>
        <w:numPr>
          <w:ilvl w:val="0"/>
          <w:numId w:val="0"/>
        </w:numPr>
        <w:pBdr>
          <w:top w:val="nil"/>
          <w:left w:val="nil"/>
          <w:bottom w:val="nil"/>
          <w:right w:val="nil"/>
          <w:between w:val="nil"/>
        </w:pBdr>
        <w:spacing w:line="240" w:lineRule="auto"/>
        <w:ind w:left="720" w:firstLine="24"/>
        <w:rPr>
          <w:rFonts w:ascii="Calibri" w:hAnsi="Calibri" w:cs="Calibri"/>
          <w:sz w:val="22"/>
          <w:szCs w:val="22"/>
        </w:rPr>
      </w:pPr>
      <w:r w:rsidRPr="002C6562">
        <w:rPr>
          <w:rFonts w:ascii="Calibri" w:hAnsi="Calibri" w:cs="Calibri"/>
          <w:sz w:val="22"/>
          <w:szCs w:val="22"/>
        </w:rPr>
        <w:t>después de esto el instructor</w:t>
      </w:r>
      <w:r w:rsidR="00B66A39" w:rsidRPr="002C6562">
        <w:rPr>
          <w:rFonts w:ascii="Calibri" w:hAnsi="Calibri" w:cs="Calibri"/>
          <w:b/>
          <w:sz w:val="22"/>
          <w:szCs w:val="22"/>
        </w:rPr>
        <w:t xml:space="preserve"> </w:t>
      </w:r>
      <w:r w:rsidR="00B66A39" w:rsidRPr="002C6562">
        <w:rPr>
          <w:rFonts w:ascii="Calibri" w:hAnsi="Calibri" w:cs="Calibri"/>
          <w:sz w:val="22"/>
          <w:szCs w:val="22"/>
        </w:rPr>
        <w:t xml:space="preserve">finalmente realizará el cierre del foro a partir de cada participación de los </w:t>
      </w:r>
      <w:r>
        <w:rPr>
          <w:rFonts w:ascii="Calibri" w:hAnsi="Calibri" w:cs="Calibri"/>
          <w:sz w:val="22"/>
          <w:szCs w:val="22"/>
        </w:rPr>
        <w:t xml:space="preserve">                            </w:t>
      </w:r>
      <w:r w:rsidR="00B66A39" w:rsidRPr="002C6562">
        <w:rPr>
          <w:rFonts w:ascii="Calibri" w:hAnsi="Calibri" w:cs="Calibri"/>
          <w:sz w:val="22"/>
          <w:szCs w:val="22"/>
        </w:rPr>
        <w:t xml:space="preserve">aprendices, </w:t>
      </w:r>
      <w:r w:rsidRPr="002C6562">
        <w:rPr>
          <w:rFonts w:ascii="Calibri" w:hAnsi="Calibri" w:cs="Calibri"/>
          <w:sz w:val="22"/>
          <w:szCs w:val="22"/>
        </w:rPr>
        <w:t>rescatando la importancia de cada una de ellas</w:t>
      </w:r>
      <w:r>
        <w:rPr>
          <w:rFonts w:ascii="Calibri" w:hAnsi="Calibri" w:cs="Calibri"/>
          <w:sz w:val="22"/>
          <w:szCs w:val="22"/>
        </w:rPr>
        <w:t>.</w:t>
      </w:r>
    </w:p>
    <w:p w14:paraId="3C948A69" w14:textId="03FEC045" w:rsidR="00201131" w:rsidRDefault="00B66A39" w:rsidP="00B66A39">
      <w:pPr>
        <w:pStyle w:val="Listaconvietas"/>
        <w:numPr>
          <w:ilvl w:val="0"/>
          <w:numId w:val="0"/>
        </w:numPr>
        <w:rPr>
          <w:rFonts w:ascii="Calibri" w:hAnsi="Calibri" w:cs="Calibri"/>
          <w:sz w:val="22"/>
          <w:szCs w:val="22"/>
        </w:rPr>
      </w:pPr>
      <w:r w:rsidRPr="002C6562">
        <w:rPr>
          <w:rFonts w:ascii="Calibri" w:hAnsi="Calibri" w:cs="Calibri"/>
          <w:b/>
          <w:sz w:val="22"/>
          <w:szCs w:val="22"/>
        </w:rPr>
        <w:t xml:space="preserve">               </w:t>
      </w:r>
    </w:p>
    <w:p w14:paraId="54063093" w14:textId="77777777" w:rsidR="005E38D9" w:rsidRDefault="005E38D9" w:rsidP="00B66A39">
      <w:pPr>
        <w:pStyle w:val="Listaconvietas"/>
        <w:numPr>
          <w:ilvl w:val="0"/>
          <w:numId w:val="0"/>
        </w:numPr>
        <w:rPr>
          <w:rFonts w:ascii="Calibri" w:hAnsi="Calibri" w:cs="Calibri"/>
          <w:sz w:val="22"/>
          <w:szCs w:val="22"/>
        </w:rPr>
      </w:pPr>
    </w:p>
    <w:p w14:paraId="7E486B22" w14:textId="77777777" w:rsidR="005E38D9" w:rsidRPr="002C6562" w:rsidRDefault="005E38D9" w:rsidP="00B66A39">
      <w:pPr>
        <w:pStyle w:val="Listaconvietas"/>
        <w:numPr>
          <w:ilvl w:val="0"/>
          <w:numId w:val="0"/>
        </w:numPr>
        <w:rPr>
          <w:rFonts w:ascii="Calibri" w:hAnsi="Calibri" w:cs="Calibri"/>
          <w:b/>
          <w:sz w:val="22"/>
          <w:szCs w:val="22"/>
        </w:rPr>
      </w:pPr>
    </w:p>
    <w:p w14:paraId="5EED5976" w14:textId="502123C6" w:rsidR="00201131" w:rsidRPr="002C6562" w:rsidRDefault="005D0A1C" w:rsidP="005D0A1C">
      <w:pPr>
        <w:pBdr>
          <w:top w:val="nil"/>
          <w:left w:val="nil"/>
          <w:bottom w:val="nil"/>
          <w:right w:val="nil"/>
          <w:between w:val="nil"/>
        </w:pBdr>
        <w:spacing w:line="240" w:lineRule="auto"/>
        <w:ind w:leftChars="0" w:left="0" w:firstLineChars="0" w:firstLine="0"/>
        <w:rPr>
          <w:rFonts w:ascii="Calibri" w:eastAsia="Calibri" w:hAnsi="Calibri" w:cs="Calibri"/>
          <w:sz w:val="22"/>
          <w:szCs w:val="22"/>
        </w:rPr>
      </w:pPr>
      <w:r w:rsidRPr="002C6562">
        <w:rPr>
          <w:rFonts w:ascii="Calibri" w:eastAsia="Calibri" w:hAnsi="Calibri" w:cs="Calibri"/>
          <w:color w:val="000000"/>
          <w:sz w:val="22"/>
          <w:szCs w:val="22"/>
        </w:rPr>
        <w:t xml:space="preserve">           </w:t>
      </w:r>
    </w:p>
    <w:p w14:paraId="44ACC554" w14:textId="24F4408B" w:rsidR="00FA638A" w:rsidRPr="002C6562"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Calibri" w:eastAsia="Calibri" w:hAnsi="Calibri" w:cs="Calibri"/>
          <w:b/>
          <w:bCs/>
          <w:sz w:val="22"/>
          <w:szCs w:val="22"/>
        </w:rPr>
      </w:pPr>
      <w:r w:rsidRPr="002C6562">
        <w:rPr>
          <w:rFonts w:ascii="Calibri" w:eastAsia="Calibri" w:hAnsi="Calibri" w:cs="Calibri"/>
          <w:b/>
          <w:bCs/>
          <w:sz w:val="22"/>
          <w:szCs w:val="22"/>
        </w:rPr>
        <w:lastRenderedPageBreak/>
        <w:t>Indicaciones</w:t>
      </w:r>
      <w:r w:rsidR="00B4067F" w:rsidRPr="002C6562">
        <w:rPr>
          <w:rFonts w:ascii="Calibri" w:eastAsia="Calibri" w:hAnsi="Calibri" w:cs="Calibri"/>
          <w:b/>
          <w:bCs/>
          <w:sz w:val="22"/>
          <w:szCs w:val="22"/>
        </w:rPr>
        <w:t>:</w:t>
      </w:r>
    </w:p>
    <w:p w14:paraId="495CD443" w14:textId="77777777" w:rsidR="00045542" w:rsidRPr="002C6562" w:rsidRDefault="00045542" w:rsidP="00045542">
      <w:pPr>
        <w:pStyle w:val="Prrafodelista"/>
        <w:pBdr>
          <w:top w:val="nil"/>
          <w:left w:val="nil"/>
          <w:bottom w:val="nil"/>
          <w:right w:val="nil"/>
          <w:between w:val="nil"/>
        </w:pBdr>
        <w:spacing w:line="240" w:lineRule="auto"/>
        <w:ind w:leftChars="0" w:left="360" w:firstLineChars="0" w:firstLine="0"/>
        <w:rPr>
          <w:rFonts w:ascii="Calibri" w:eastAsia="Calibri" w:hAnsi="Calibri" w:cs="Calibri"/>
          <w:sz w:val="22"/>
          <w:szCs w:val="22"/>
        </w:rPr>
      </w:pPr>
    </w:p>
    <w:p w14:paraId="10B5B2E6" w14:textId="0995DEF8" w:rsidR="00C34906" w:rsidRPr="00340568" w:rsidRDefault="00F84189" w:rsidP="00B66A39">
      <w:pPr>
        <w:pBdr>
          <w:top w:val="nil"/>
          <w:left w:val="nil"/>
          <w:bottom w:val="nil"/>
          <w:right w:val="nil"/>
          <w:between w:val="nil"/>
        </w:pBdr>
        <w:ind w:left="0" w:hanging="2"/>
        <w:rPr>
          <w:rFonts w:asciiTheme="majorHAnsi" w:hAnsiTheme="majorHAnsi" w:cstheme="majorHAnsi"/>
          <w:bCs/>
          <w:color w:val="000000"/>
          <w:sz w:val="22"/>
          <w:szCs w:val="22"/>
        </w:rPr>
      </w:pPr>
      <w:r w:rsidRPr="002C6562">
        <w:rPr>
          <w:rFonts w:ascii="Calibri" w:eastAsia="Calibri" w:hAnsi="Calibri" w:cs="Calibri"/>
          <w:sz w:val="22"/>
          <w:szCs w:val="22"/>
        </w:rPr>
        <w:t xml:space="preserve">4.1 </w:t>
      </w:r>
      <w:r w:rsidR="00C34906" w:rsidRPr="00340568">
        <w:rPr>
          <w:rFonts w:ascii="Calibri" w:hAnsi="Calibri" w:cs="Calibri"/>
          <w:bCs/>
          <w:color w:val="000000"/>
          <w:sz w:val="22"/>
          <w:szCs w:val="22"/>
        </w:rPr>
        <w:t xml:space="preserve">A continuación, </w:t>
      </w:r>
      <w:r w:rsidR="00B66A39" w:rsidRPr="00340568">
        <w:rPr>
          <w:rFonts w:ascii="Calibri" w:hAnsi="Calibri" w:cs="Calibri"/>
          <w:bCs/>
          <w:color w:val="000000"/>
          <w:sz w:val="22"/>
          <w:szCs w:val="22"/>
        </w:rPr>
        <w:t>observar el Link que se aportará</w:t>
      </w:r>
      <w:r w:rsidR="00C34906" w:rsidRPr="00340568">
        <w:rPr>
          <w:rFonts w:ascii="Calibri" w:hAnsi="Calibri" w:cs="Calibri"/>
          <w:bCs/>
          <w:color w:val="000000"/>
          <w:sz w:val="22"/>
          <w:szCs w:val="22"/>
        </w:rPr>
        <w:t xml:space="preserve"> a los aprendices </w:t>
      </w:r>
      <w:r w:rsidR="002C6562" w:rsidRPr="00340568">
        <w:rPr>
          <w:rFonts w:ascii="Calibri" w:hAnsi="Calibri" w:cs="Calibri"/>
          <w:bCs/>
          <w:color w:val="000000"/>
          <w:sz w:val="22"/>
          <w:szCs w:val="22"/>
        </w:rPr>
        <w:t>el denominado</w:t>
      </w:r>
      <w:r w:rsidR="00C34906" w:rsidRPr="00340568">
        <w:rPr>
          <w:rFonts w:ascii="Calibri" w:hAnsi="Calibri" w:cs="Calibri"/>
          <w:bCs/>
          <w:color w:val="000000"/>
          <w:sz w:val="22"/>
          <w:szCs w:val="22"/>
        </w:rPr>
        <w:t xml:space="preserve"> “Levantamiento Topográfico</w:t>
      </w:r>
      <w:r w:rsidR="00B66A39" w:rsidRPr="00340568">
        <w:rPr>
          <w:rFonts w:ascii="Calibri" w:hAnsi="Calibri" w:cs="Calibri"/>
          <w:bCs/>
          <w:color w:val="000000"/>
          <w:sz w:val="22"/>
          <w:szCs w:val="22"/>
        </w:rPr>
        <w:t xml:space="preserve"> y planimetría</w:t>
      </w:r>
      <w:r w:rsidR="00C34906" w:rsidRPr="00340568">
        <w:rPr>
          <w:rFonts w:ascii="Calibri" w:hAnsi="Calibri" w:cs="Calibri"/>
          <w:bCs/>
          <w:color w:val="000000"/>
          <w:sz w:val="22"/>
          <w:szCs w:val="22"/>
        </w:rPr>
        <w:t xml:space="preserve">” que se encuentra en el </w:t>
      </w:r>
      <w:r w:rsidR="00B66A39" w:rsidRPr="00340568">
        <w:rPr>
          <w:rFonts w:ascii="Calibri" w:hAnsi="Calibri" w:cs="Calibri"/>
          <w:bCs/>
          <w:color w:val="000000"/>
          <w:sz w:val="22"/>
          <w:szCs w:val="22"/>
        </w:rPr>
        <w:t>L</w:t>
      </w:r>
      <w:r w:rsidR="00C34906" w:rsidRPr="00340568">
        <w:rPr>
          <w:rFonts w:ascii="Calibri" w:hAnsi="Calibri" w:cs="Calibri"/>
          <w:bCs/>
          <w:color w:val="000000"/>
          <w:sz w:val="22"/>
          <w:szCs w:val="22"/>
        </w:rPr>
        <w:t xml:space="preserve">ink </w:t>
      </w:r>
      <w:r w:rsidR="00B66A39" w:rsidRPr="00340568">
        <w:rPr>
          <w:rFonts w:asciiTheme="majorHAnsi" w:hAnsiTheme="majorHAnsi" w:cstheme="majorHAnsi"/>
          <w:sz w:val="22"/>
          <w:szCs w:val="22"/>
        </w:rPr>
        <w:t>http://www.fao.org/fishery/static/FAO_Training/FAO_Training/General/x6707s/x6707s07.htm</w:t>
      </w:r>
      <w:r w:rsidR="00C34906" w:rsidRPr="00340568">
        <w:rPr>
          <w:rFonts w:asciiTheme="majorHAnsi" w:hAnsiTheme="majorHAnsi" w:cstheme="majorHAnsi"/>
          <w:bCs/>
          <w:color w:val="000000"/>
          <w:sz w:val="22"/>
          <w:szCs w:val="22"/>
        </w:rPr>
        <w:t>, este material lo encontrará en la carpeta de material de apoyo.</w:t>
      </w:r>
    </w:p>
    <w:p w14:paraId="0D680B39" w14:textId="77777777" w:rsidR="00E82751" w:rsidRPr="00340568" w:rsidRDefault="00E82751" w:rsidP="00E82751">
      <w:pPr>
        <w:pStyle w:val="Listaconvietas"/>
        <w:numPr>
          <w:ilvl w:val="0"/>
          <w:numId w:val="0"/>
        </w:numPr>
        <w:jc w:val="left"/>
        <w:rPr>
          <w:rFonts w:asciiTheme="majorHAnsi" w:hAnsiTheme="majorHAnsi" w:cstheme="majorHAnsi"/>
          <w:bCs/>
          <w:color w:val="000000"/>
          <w:sz w:val="22"/>
          <w:szCs w:val="22"/>
        </w:rPr>
      </w:pPr>
    </w:p>
    <w:p w14:paraId="488E1D7B" w14:textId="298295D5" w:rsidR="00E82751" w:rsidRPr="00340568"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bookmarkStart w:id="0" w:name="_Hlk96271611"/>
      <w:r w:rsidRPr="00340568">
        <w:rPr>
          <w:rFonts w:asciiTheme="majorHAnsi" w:hAnsiTheme="majorHAnsi" w:cstheme="majorHAnsi"/>
          <w:bCs/>
          <w:color w:val="000000"/>
          <w:sz w:val="22"/>
          <w:szCs w:val="22"/>
        </w:rPr>
        <w:t>¿Qué es un levantamiento topográfico?</w:t>
      </w:r>
    </w:p>
    <w:p w14:paraId="1691B107" w14:textId="77777777" w:rsidR="0001769F" w:rsidRPr="00340568" w:rsidRDefault="0001769F" w:rsidP="0001769F">
      <w:pPr>
        <w:ind w:left="0" w:hanging="2"/>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 xml:space="preserve">R/ </w:t>
      </w:r>
    </w:p>
    <w:p w14:paraId="7C17052F" w14:textId="4516CBB5" w:rsidR="0001769F" w:rsidRPr="00340568" w:rsidRDefault="0001769F" w:rsidP="0001769F">
      <w:pPr>
        <w:ind w:left="0" w:hanging="2"/>
        <w:rPr>
          <w:rFonts w:asciiTheme="majorHAnsi" w:hAnsiTheme="majorHAnsi" w:cstheme="majorHAnsi"/>
          <w:position w:val="0"/>
          <w:sz w:val="22"/>
          <w:szCs w:val="22"/>
          <w:lang w:eastAsia="en-US"/>
        </w:rPr>
      </w:pPr>
      <w:r w:rsidRPr="00340568">
        <w:rPr>
          <w:rFonts w:asciiTheme="majorHAnsi" w:hAnsiTheme="majorHAnsi" w:cstheme="majorHAnsi"/>
          <w:sz w:val="22"/>
          <w:szCs w:val="22"/>
        </w:rPr>
        <w:t>Es el conjunto de operaciones de campo y de cálculo que permite determinar la posición de uno o varios puntos del terreno, con el fin de elaborar planos o mapas. Existen dos enfoques complementarios: uno busca ubicar los puntos sobre un plano horizontal (planimetría), midiendo distancias y ángulos horizontales; el otro busca determinar la altura de esos puntos respecto a un plano de referencia (nivelación), midiendo distancias horizontales y diferencias de altura. Con ambos resultados se trazan los planos y mapas del área estudiada.</w:t>
      </w:r>
    </w:p>
    <w:p w14:paraId="11BAD390" w14:textId="132305AC" w:rsidR="0001769F" w:rsidRPr="00340568" w:rsidRDefault="0001769F"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6761B1E9" w14:textId="77777777" w:rsidR="0001769F" w:rsidRPr="00340568" w:rsidRDefault="0001769F" w:rsidP="0001769F">
      <w:pPr>
        <w:ind w:left="0" w:hanging="2"/>
        <w:jc w:val="both"/>
        <w:rPr>
          <w:rFonts w:asciiTheme="majorHAnsi" w:hAnsiTheme="majorHAnsi" w:cstheme="majorHAnsi"/>
          <w:bCs/>
          <w:color w:val="000000"/>
          <w:position w:val="0"/>
          <w:sz w:val="22"/>
          <w:szCs w:val="22"/>
          <w:lang w:eastAsia="en-US"/>
        </w:rPr>
      </w:pPr>
      <w:r w:rsidRPr="00340568">
        <w:rPr>
          <w:rFonts w:asciiTheme="majorHAnsi" w:hAnsiTheme="majorHAnsi" w:cstheme="majorHAnsi"/>
          <w:bCs/>
          <w:color w:val="000000"/>
          <w:sz w:val="22"/>
          <w:szCs w:val="22"/>
        </w:rPr>
        <w:t>¿Mencione las principales fases en un levantamiento topográfico?</w:t>
      </w:r>
    </w:p>
    <w:p w14:paraId="29F32DA9"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 xml:space="preserve">R/ </w:t>
      </w:r>
    </w:p>
    <w:p w14:paraId="712B6317"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Reconocimiento o estudio preliminar: recorrido rápido del terreno sin exigir gran precisión, para tener una visión general.</w:t>
      </w:r>
    </w:p>
    <w:p w14:paraId="28855A20"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Planeación del trabajo: se procede “de lo general a lo particular”, definiendo primero los puntos primarios con la mayor precisión posible.</w:t>
      </w:r>
    </w:p>
    <w:p w14:paraId="1EDF3F57"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Levantamiento de los puntos primarios: delimitan el perímetro y las líneas principales del área.</w:t>
      </w:r>
    </w:p>
    <w:p w14:paraId="758DAB8B"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Levantamiento de los puntos secundarios: dividen el área en parcelas a partir de las líneas primarias.</w:t>
      </w:r>
    </w:p>
    <w:p w14:paraId="56FAE383"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Levantamiento de detalles (puntos terciarios): se ubican los elementos particulares de cada parcela, con menor exigencia de precisión.</w:t>
      </w:r>
    </w:p>
    <w:p w14:paraId="71F707B5"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 xml:space="preserve"> </w:t>
      </w:r>
    </w:p>
    <w:p w14:paraId="2CEF92E8"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 xml:space="preserve"> </w:t>
      </w:r>
    </w:p>
    <w:p w14:paraId="7DE39456"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¿Qué operaciones comprenden un levantamiento topográfico?</w:t>
      </w:r>
    </w:p>
    <w:p w14:paraId="1EBEA114"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R/</w:t>
      </w:r>
    </w:p>
    <w:p w14:paraId="12363D3B"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Levantamiento planimétrico: determina la posición relativa de los puntos sobre un plano horizontal, midiendo distancias horizontales y ángulos horizontales (o azimut).</w:t>
      </w:r>
    </w:p>
    <w:p w14:paraId="45D7C66B"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Nivelación directa: determina la altura de los puntos respecto a un plano horizontal de referencia, midiendo distancias horizontales y diferencias de altura, y permite trazar curvas de nivel.</w:t>
      </w:r>
    </w:p>
    <w:p w14:paraId="01E3C361"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 xml:space="preserve"> </w:t>
      </w:r>
    </w:p>
    <w:p w14:paraId="19CAFED0"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 xml:space="preserve"> </w:t>
      </w:r>
    </w:p>
    <w:p w14:paraId="1B9E293D"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¿En qué consiste la preparación de un levantamiento topográfico?</w:t>
      </w:r>
    </w:p>
    <w:p w14:paraId="1DA0D211"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R/</w:t>
      </w:r>
    </w:p>
    <w:p w14:paraId="3DA7A5E6" w14:textId="77777777" w:rsidR="0001769F" w:rsidRPr="00340568" w:rsidRDefault="0001769F" w:rsidP="0001769F">
      <w:pPr>
        <w:ind w:left="0" w:hanging="2"/>
        <w:rPr>
          <w:rFonts w:asciiTheme="majorHAnsi" w:hAnsiTheme="majorHAnsi" w:cstheme="majorHAnsi"/>
          <w:sz w:val="22"/>
          <w:szCs w:val="22"/>
        </w:rPr>
      </w:pPr>
      <w:r w:rsidRPr="00340568">
        <w:rPr>
          <w:rFonts w:asciiTheme="majorHAnsi" w:hAnsiTheme="majorHAnsi" w:cstheme="majorHAnsi"/>
          <w:sz w:val="22"/>
          <w:szCs w:val="22"/>
        </w:rPr>
        <w:t>Consiste en planear el trabajo de campo antes de iniciar las mediciones, siguiendo la regla de proceder de lo general a lo particular. Esto implica:</w:t>
      </w:r>
    </w:p>
    <w:p w14:paraId="63944C95"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Definir con la mayor precisión posible los primeros puntos (primarios), porque los trabajos sucesivos se ajustan a ellos.</w:t>
      </w:r>
    </w:p>
    <w:p w14:paraId="4B4ADCC6"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Elegir, según el objetivo del levantamiento (una línea, una serie de líneas o un terreno completo), el método más adecuado.</w:t>
      </w:r>
    </w:p>
    <w:p w14:paraId="1204804F"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Adoptar un plan de trabajo que vaya de un reconocimiento preliminar rápido hacia levantamientos cada vez más detallados y precisos.</w:t>
      </w:r>
    </w:p>
    <w:p w14:paraId="51BB0B26"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Tener en cuenta las condiciones del terreno (campo abierto, zonas boscosas, vegetación densa) para decidir si es necesario despejar las líneas visuales.</w:t>
      </w:r>
    </w:p>
    <w:p w14:paraId="0FA79057"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 xml:space="preserve"> </w:t>
      </w:r>
    </w:p>
    <w:p w14:paraId="2A5923C9"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 xml:space="preserve"> </w:t>
      </w:r>
    </w:p>
    <w:p w14:paraId="38BEA91E"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¿Cuáles son los principales métodos utilizados en planimetría?</w:t>
      </w:r>
    </w:p>
    <w:p w14:paraId="056AA83D"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R/</w:t>
      </w:r>
    </w:p>
    <w:p w14:paraId="67C4D272"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proofErr w:type="spellStart"/>
      <w:r w:rsidRPr="00340568">
        <w:rPr>
          <w:rFonts w:asciiTheme="majorHAnsi" w:hAnsiTheme="majorHAnsi" w:cstheme="majorHAnsi"/>
          <w:sz w:val="22"/>
          <w:szCs w:val="22"/>
          <w:lang w:val="es-ES"/>
        </w:rPr>
        <w:t>Poligonación</w:t>
      </w:r>
      <w:proofErr w:type="spellEnd"/>
      <w:r w:rsidRPr="00340568">
        <w:rPr>
          <w:rFonts w:asciiTheme="majorHAnsi" w:hAnsiTheme="majorHAnsi" w:cstheme="majorHAnsi"/>
          <w:sz w:val="22"/>
          <w:szCs w:val="22"/>
          <w:lang w:val="es-ES"/>
        </w:rPr>
        <w:t>: mide distancias horizontales y azimut a lo largo de una línea quebrada (poligonal abierta o cerrada), a partir de un punto conocido.</w:t>
      </w:r>
    </w:p>
    <w:p w14:paraId="04CA58A7"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lastRenderedPageBreak/>
        <w:t>Radiación (proyección radial): desde una sola estación de observación se miden distancias y azimut (o ángulos) hacia todos los puntos visibles.</w:t>
      </w:r>
    </w:p>
    <w:p w14:paraId="61B7AE19"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Offset (perpendiculares): a partir de una línea base conocida, se miden perpendiculares cortas (</w:t>
      </w:r>
      <w:proofErr w:type="spellStart"/>
      <w:r w:rsidRPr="00340568">
        <w:rPr>
          <w:rFonts w:asciiTheme="majorHAnsi" w:hAnsiTheme="majorHAnsi" w:cstheme="majorHAnsi"/>
          <w:sz w:val="22"/>
          <w:szCs w:val="22"/>
          <w:lang w:val="es-ES"/>
        </w:rPr>
        <w:t>offsets</w:t>
      </w:r>
      <w:proofErr w:type="spellEnd"/>
      <w:r w:rsidRPr="00340568">
        <w:rPr>
          <w:rFonts w:asciiTheme="majorHAnsi" w:hAnsiTheme="majorHAnsi" w:cstheme="majorHAnsi"/>
          <w:sz w:val="22"/>
          <w:szCs w:val="22"/>
          <w:lang w:val="es-ES"/>
        </w:rPr>
        <w:t>) hacia puntos de detalle cercanos.</w:t>
      </w:r>
    </w:p>
    <w:p w14:paraId="5E9ECE18" w14:textId="77777777" w:rsidR="0001769F" w:rsidRPr="00340568" w:rsidRDefault="0001769F" w:rsidP="0001769F">
      <w:pPr>
        <w:pStyle w:val="Prrafodelista1"/>
        <w:numPr>
          <w:ilvl w:val="0"/>
          <w:numId w:val="6"/>
        </w:numPr>
        <w:rPr>
          <w:rFonts w:asciiTheme="majorHAnsi" w:hAnsiTheme="majorHAnsi" w:cstheme="majorHAnsi"/>
          <w:sz w:val="22"/>
          <w:szCs w:val="22"/>
          <w:lang w:val="es-ES"/>
        </w:rPr>
      </w:pPr>
      <w:r w:rsidRPr="00340568">
        <w:rPr>
          <w:rFonts w:asciiTheme="majorHAnsi" w:hAnsiTheme="majorHAnsi" w:cstheme="majorHAnsi"/>
          <w:sz w:val="22"/>
          <w:szCs w:val="22"/>
          <w:lang w:val="es-ES"/>
        </w:rPr>
        <w:t>Triangulación e intersección: a partir de dos puntos conocidos (línea base), se determinan nuevos puntos midiendo distancias o ángulos, formando triángulos sucesivos.</w:t>
      </w:r>
    </w:p>
    <w:p w14:paraId="0D5566D5"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 xml:space="preserve"> </w:t>
      </w:r>
    </w:p>
    <w:p w14:paraId="2056B360"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 xml:space="preserve"> </w:t>
      </w:r>
    </w:p>
    <w:p w14:paraId="392C33FB"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¿Dibuje un mapa o cuadro donde represente los métodos de la planimetría?</w:t>
      </w:r>
    </w:p>
    <w:p w14:paraId="6FD2F04F" w14:textId="77777777" w:rsidR="0001769F" w:rsidRPr="00340568" w:rsidRDefault="0001769F" w:rsidP="0001769F">
      <w:pP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R/</w:t>
      </w:r>
    </w:p>
    <w:tbl>
      <w:tblPr>
        <w:tblW w:w="0" w:type="auto"/>
        <w:tblCellMar>
          <w:top w:w="15" w:type="dxa"/>
          <w:left w:w="15" w:type="dxa"/>
          <w:bottom w:w="15" w:type="dxa"/>
          <w:right w:w="15" w:type="dxa"/>
        </w:tblCellMar>
        <w:tblLook w:val="04A0" w:firstRow="1" w:lastRow="0" w:firstColumn="1" w:lastColumn="0" w:noHBand="0" w:noVBand="1"/>
      </w:tblPr>
      <w:tblGrid>
        <w:gridCol w:w="1695"/>
        <w:gridCol w:w="2400"/>
        <w:gridCol w:w="2625"/>
        <w:gridCol w:w="2625"/>
      </w:tblGrid>
      <w:tr w:rsidR="0001769F" w:rsidRPr="00340568" w14:paraId="468404E2" w14:textId="77777777" w:rsidTr="0001769F">
        <w:tc>
          <w:tcPr>
            <w:tcW w:w="1695" w:type="dxa"/>
            <w:tcBorders>
              <w:top w:val="outset" w:sz="6" w:space="0" w:color="auto"/>
              <w:left w:val="outset" w:sz="6" w:space="0" w:color="auto"/>
              <w:bottom w:val="outset" w:sz="6" w:space="0" w:color="auto"/>
              <w:right w:val="outset" w:sz="6" w:space="0" w:color="auto"/>
            </w:tcBorders>
            <w:shd w:val="clear" w:color="auto" w:fill="1F4E5F"/>
            <w:hideMark/>
          </w:tcPr>
          <w:p w14:paraId="0A59F586"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b/>
                <w:bCs/>
                <w:color w:val="FFFFFF"/>
                <w:sz w:val="22"/>
                <w:szCs w:val="22"/>
              </w:rPr>
              <w:t>Método</w:t>
            </w:r>
          </w:p>
        </w:tc>
        <w:tc>
          <w:tcPr>
            <w:tcW w:w="2400" w:type="dxa"/>
            <w:tcBorders>
              <w:top w:val="outset" w:sz="6" w:space="0" w:color="auto"/>
              <w:left w:val="nil"/>
              <w:bottom w:val="outset" w:sz="6" w:space="0" w:color="auto"/>
              <w:right w:val="outset" w:sz="6" w:space="0" w:color="auto"/>
            </w:tcBorders>
            <w:shd w:val="clear" w:color="auto" w:fill="1F4E5F"/>
            <w:hideMark/>
          </w:tcPr>
          <w:p w14:paraId="382CBBAB"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b/>
                <w:bCs/>
                <w:color w:val="FFFFFF"/>
                <w:sz w:val="22"/>
                <w:szCs w:val="22"/>
              </w:rPr>
              <w:t>Elementos básicos</w:t>
            </w:r>
          </w:p>
        </w:tc>
        <w:tc>
          <w:tcPr>
            <w:tcW w:w="2625" w:type="dxa"/>
            <w:tcBorders>
              <w:top w:val="outset" w:sz="6" w:space="0" w:color="auto"/>
              <w:left w:val="nil"/>
              <w:bottom w:val="outset" w:sz="6" w:space="0" w:color="auto"/>
              <w:right w:val="outset" w:sz="6" w:space="0" w:color="auto"/>
            </w:tcBorders>
            <w:shd w:val="clear" w:color="auto" w:fill="1F4E5F"/>
            <w:hideMark/>
          </w:tcPr>
          <w:p w14:paraId="27286C7C"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b/>
                <w:bCs/>
                <w:color w:val="FFFFFF"/>
                <w:sz w:val="22"/>
                <w:szCs w:val="22"/>
              </w:rPr>
              <w:t>Aplicabilidad</w:t>
            </w:r>
          </w:p>
        </w:tc>
        <w:tc>
          <w:tcPr>
            <w:tcW w:w="2625" w:type="dxa"/>
            <w:tcBorders>
              <w:top w:val="outset" w:sz="6" w:space="0" w:color="auto"/>
              <w:left w:val="nil"/>
              <w:bottom w:val="outset" w:sz="6" w:space="0" w:color="auto"/>
              <w:right w:val="outset" w:sz="6" w:space="0" w:color="auto"/>
            </w:tcBorders>
            <w:shd w:val="clear" w:color="auto" w:fill="1F4E5F"/>
            <w:hideMark/>
          </w:tcPr>
          <w:p w14:paraId="54D690F6"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b/>
                <w:bCs/>
                <w:color w:val="FFFFFF"/>
                <w:sz w:val="22"/>
                <w:szCs w:val="22"/>
              </w:rPr>
              <w:t>Comentario</w:t>
            </w:r>
          </w:p>
        </w:tc>
      </w:tr>
      <w:tr w:rsidR="0001769F" w:rsidRPr="00340568" w14:paraId="318572F9" w14:textId="77777777" w:rsidTr="0001769F">
        <w:tc>
          <w:tcPr>
            <w:tcW w:w="1695" w:type="dxa"/>
            <w:tcBorders>
              <w:top w:val="nil"/>
              <w:left w:val="outset" w:sz="6" w:space="0" w:color="auto"/>
              <w:bottom w:val="outset" w:sz="6" w:space="0" w:color="auto"/>
              <w:right w:val="outset" w:sz="6" w:space="0" w:color="auto"/>
            </w:tcBorders>
            <w:hideMark/>
          </w:tcPr>
          <w:p w14:paraId="51BC31EF"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Poligonal</w:t>
            </w:r>
          </w:p>
        </w:tc>
        <w:tc>
          <w:tcPr>
            <w:tcW w:w="2400" w:type="dxa"/>
            <w:tcBorders>
              <w:top w:val="nil"/>
              <w:left w:val="nil"/>
              <w:bottom w:val="outset" w:sz="6" w:space="0" w:color="auto"/>
              <w:right w:val="outset" w:sz="6" w:space="0" w:color="auto"/>
            </w:tcBorders>
            <w:hideMark/>
          </w:tcPr>
          <w:p w14:paraId="3BD483E1"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Distancias y azimut entre estaciones sucesivas</w:t>
            </w:r>
          </w:p>
        </w:tc>
        <w:tc>
          <w:tcPr>
            <w:tcW w:w="2625" w:type="dxa"/>
            <w:tcBorders>
              <w:top w:val="nil"/>
              <w:left w:val="nil"/>
              <w:bottom w:val="outset" w:sz="6" w:space="0" w:color="auto"/>
              <w:right w:val="outset" w:sz="6" w:space="0" w:color="auto"/>
            </w:tcBorders>
            <w:hideMark/>
          </w:tcPr>
          <w:p w14:paraId="62D41159" w14:textId="77777777" w:rsidR="0001769F" w:rsidRPr="00D72C2D" w:rsidRDefault="0001769F">
            <w:pPr>
              <w:ind w:left="0" w:hanging="2"/>
              <w:rPr>
                <w:rFonts w:asciiTheme="majorHAnsi" w:hAnsiTheme="majorHAnsi" w:cstheme="majorHAnsi"/>
                <w:sz w:val="22"/>
                <w:szCs w:val="22"/>
                <w:lang w:val="pt-PT"/>
              </w:rPr>
            </w:pPr>
            <w:r w:rsidRPr="00D72C2D">
              <w:rPr>
                <w:rFonts w:asciiTheme="majorHAnsi" w:hAnsiTheme="majorHAnsi" w:cstheme="majorHAnsi"/>
                <w:sz w:val="22"/>
                <w:szCs w:val="22"/>
                <w:lang w:val="pt-PT"/>
              </w:rPr>
              <w:t>Terreno plano o boscoso; poligonal abierta o cerrada</w:t>
            </w:r>
          </w:p>
        </w:tc>
        <w:tc>
          <w:tcPr>
            <w:tcW w:w="2625" w:type="dxa"/>
            <w:tcBorders>
              <w:top w:val="nil"/>
              <w:left w:val="nil"/>
              <w:bottom w:val="outset" w:sz="6" w:space="0" w:color="auto"/>
              <w:right w:val="outset" w:sz="6" w:space="0" w:color="auto"/>
            </w:tcBorders>
            <w:hideMark/>
          </w:tcPr>
          <w:p w14:paraId="7CAA6F86"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 xml:space="preserve">Verificar que VAd y </w:t>
            </w:r>
            <w:proofErr w:type="spellStart"/>
            <w:r w:rsidRPr="00340568">
              <w:rPr>
                <w:rFonts w:asciiTheme="majorHAnsi" w:hAnsiTheme="majorHAnsi" w:cstheme="majorHAnsi"/>
                <w:sz w:val="22"/>
                <w:szCs w:val="22"/>
              </w:rPr>
              <w:t>VAt</w:t>
            </w:r>
            <w:proofErr w:type="spellEnd"/>
            <w:r w:rsidRPr="00340568">
              <w:rPr>
                <w:rFonts w:asciiTheme="majorHAnsi" w:hAnsiTheme="majorHAnsi" w:cstheme="majorHAnsi"/>
                <w:sz w:val="22"/>
                <w:szCs w:val="22"/>
              </w:rPr>
              <w:t xml:space="preserve"> difieran 180°</w:t>
            </w:r>
          </w:p>
        </w:tc>
      </w:tr>
      <w:tr w:rsidR="0001769F" w:rsidRPr="00340568" w14:paraId="0D829EC2" w14:textId="77777777" w:rsidTr="0001769F">
        <w:tc>
          <w:tcPr>
            <w:tcW w:w="1695" w:type="dxa"/>
            <w:tcBorders>
              <w:top w:val="nil"/>
              <w:left w:val="outset" w:sz="6" w:space="0" w:color="auto"/>
              <w:bottom w:val="outset" w:sz="6" w:space="0" w:color="auto"/>
              <w:right w:val="outset" w:sz="6" w:space="0" w:color="auto"/>
            </w:tcBorders>
            <w:hideMark/>
          </w:tcPr>
          <w:p w14:paraId="679887B5"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Radiación</w:t>
            </w:r>
          </w:p>
        </w:tc>
        <w:tc>
          <w:tcPr>
            <w:tcW w:w="2400" w:type="dxa"/>
            <w:tcBorders>
              <w:top w:val="nil"/>
              <w:left w:val="nil"/>
              <w:bottom w:val="outset" w:sz="6" w:space="0" w:color="auto"/>
              <w:right w:val="outset" w:sz="6" w:space="0" w:color="auto"/>
            </w:tcBorders>
            <w:hideMark/>
          </w:tcPr>
          <w:p w14:paraId="619B0F02"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Una estación de observación central o lateral</w:t>
            </w:r>
          </w:p>
        </w:tc>
        <w:tc>
          <w:tcPr>
            <w:tcW w:w="2625" w:type="dxa"/>
            <w:tcBorders>
              <w:top w:val="nil"/>
              <w:left w:val="nil"/>
              <w:bottom w:val="outset" w:sz="6" w:space="0" w:color="auto"/>
              <w:right w:val="outset" w:sz="6" w:space="0" w:color="auto"/>
            </w:tcBorders>
            <w:hideMark/>
          </w:tcPr>
          <w:p w14:paraId="149B9AEB"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Parcelas pequeñas, solo ubicar puntos</w:t>
            </w:r>
          </w:p>
        </w:tc>
        <w:tc>
          <w:tcPr>
            <w:tcW w:w="2625" w:type="dxa"/>
            <w:tcBorders>
              <w:top w:val="nil"/>
              <w:left w:val="nil"/>
              <w:bottom w:val="outset" w:sz="6" w:space="0" w:color="auto"/>
              <w:right w:val="outset" w:sz="6" w:space="0" w:color="auto"/>
            </w:tcBorders>
            <w:hideMark/>
          </w:tcPr>
          <w:p w14:paraId="3092DF05"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Ángulos de radiación &gt; 15°</w:t>
            </w:r>
          </w:p>
        </w:tc>
      </w:tr>
      <w:tr w:rsidR="0001769F" w:rsidRPr="00340568" w14:paraId="57B1ADFD" w14:textId="77777777" w:rsidTr="0001769F">
        <w:tc>
          <w:tcPr>
            <w:tcW w:w="1695" w:type="dxa"/>
            <w:tcBorders>
              <w:top w:val="nil"/>
              <w:left w:val="outset" w:sz="6" w:space="0" w:color="auto"/>
              <w:bottom w:val="outset" w:sz="6" w:space="0" w:color="auto"/>
              <w:right w:val="outset" w:sz="6" w:space="0" w:color="auto"/>
            </w:tcBorders>
            <w:hideMark/>
          </w:tcPr>
          <w:p w14:paraId="67112714"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Offset</w:t>
            </w:r>
          </w:p>
        </w:tc>
        <w:tc>
          <w:tcPr>
            <w:tcW w:w="2400" w:type="dxa"/>
            <w:tcBorders>
              <w:top w:val="nil"/>
              <w:left w:val="nil"/>
              <w:bottom w:val="outset" w:sz="6" w:space="0" w:color="auto"/>
              <w:right w:val="outset" w:sz="6" w:space="0" w:color="auto"/>
            </w:tcBorders>
            <w:hideMark/>
          </w:tcPr>
          <w:p w14:paraId="181529B9"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Línea de encadenamiento y perpendiculares</w:t>
            </w:r>
          </w:p>
        </w:tc>
        <w:tc>
          <w:tcPr>
            <w:tcW w:w="2625" w:type="dxa"/>
            <w:tcBorders>
              <w:top w:val="nil"/>
              <w:left w:val="nil"/>
              <w:bottom w:val="outset" w:sz="6" w:space="0" w:color="auto"/>
              <w:right w:val="outset" w:sz="6" w:space="0" w:color="auto"/>
            </w:tcBorders>
            <w:hideMark/>
          </w:tcPr>
          <w:p w14:paraId="7EEE508E"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Detalles cercanos a la línea base (≤ 35 m)</w:t>
            </w:r>
          </w:p>
        </w:tc>
        <w:tc>
          <w:tcPr>
            <w:tcW w:w="2625" w:type="dxa"/>
            <w:tcBorders>
              <w:top w:val="nil"/>
              <w:left w:val="nil"/>
              <w:bottom w:val="outset" w:sz="6" w:space="0" w:color="auto"/>
              <w:right w:val="outset" w:sz="6" w:space="0" w:color="auto"/>
            </w:tcBorders>
            <w:hideMark/>
          </w:tcPr>
          <w:p w14:paraId="17955A30"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Método rápido y sencillo</w:t>
            </w:r>
          </w:p>
        </w:tc>
      </w:tr>
      <w:tr w:rsidR="0001769F" w:rsidRPr="00340568" w14:paraId="0FAD02D3" w14:textId="77777777" w:rsidTr="0001769F">
        <w:tc>
          <w:tcPr>
            <w:tcW w:w="1695" w:type="dxa"/>
            <w:tcBorders>
              <w:top w:val="nil"/>
              <w:left w:val="outset" w:sz="6" w:space="0" w:color="auto"/>
              <w:bottom w:val="outset" w:sz="6" w:space="0" w:color="auto"/>
              <w:right w:val="outset" w:sz="6" w:space="0" w:color="auto"/>
            </w:tcBorders>
            <w:hideMark/>
          </w:tcPr>
          <w:p w14:paraId="566CB8D9"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Triangulación</w:t>
            </w:r>
          </w:p>
        </w:tc>
        <w:tc>
          <w:tcPr>
            <w:tcW w:w="2400" w:type="dxa"/>
            <w:tcBorders>
              <w:top w:val="nil"/>
              <w:left w:val="nil"/>
              <w:bottom w:val="outset" w:sz="6" w:space="0" w:color="auto"/>
              <w:right w:val="outset" w:sz="6" w:space="0" w:color="auto"/>
            </w:tcBorders>
            <w:hideMark/>
          </w:tcPr>
          <w:p w14:paraId="23FC32ED"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Línea base entre dos puntos conocidos</w:t>
            </w:r>
          </w:p>
        </w:tc>
        <w:tc>
          <w:tcPr>
            <w:tcW w:w="2625" w:type="dxa"/>
            <w:tcBorders>
              <w:top w:val="nil"/>
              <w:left w:val="nil"/>
              <w:bottom w:val="outset" w:sz="6" w:space="0" w:color="auto"/>
              <w:right w:val="outset" w:sz="6" w:space="0" w:color="auto"/>
            </w:tcBorders>
            <w:hideMark/>
          </w:tcPr>
          <w:p w14:paraId="1D3A7CA0"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Terrenos grandes, ondulados o de difícil acceso</w:t>
            </w:r>
          </w:p>
        </w:tc>
        <w:tc>
          <w:tcPr>
            <w:tcW w:w="2625" w:type="dxa"/>
            <w:tcBorders>
              <w:top w:val="nil"/>
              <w:left w:val="nil"/>
              <w:bottom w:val="outset" w:sz="6" w:space="0" w:color="auto"/>
              <w:right w:val="outset" w:sz="6" w:space="0" w:color="auto"/>
            </w:tcBorders>
            <w:hideMark/>
          </w:tcPr>
          <w:p w14:paraId="67CBC763"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Ángulos entre 15° y 165°; ideal cerca de 60°</w:t>
            </w:r>
          </w:p>
        </w:tc>
      </w:tr>
      <w:tr w:rsidR="0001769F" w:rsidRPr="00340568" w14:paraId="717164B4" w14:textId="77777777" w:rsidTr="0001769F">
        <w:tc>
          <w:tcPr>
            <w:tcW w:w="1695" w:type="dxa"/>
            <w:tcBorders>
              <w:top w:val="nil"/>
              <w:left w:val="outset" w:sz="6" w:space="0" w:color="auto"/>
              <w:bottom w:val="outset" w:sz="6" w:space="0" w:color="auto"/>
              <w:right w:val="outset" w:sz="6" w:space="0" w:color="auto"/>
            </w:tcBorders>
            <w:hideMark/>
          </w:tcPr>
          <w:p w14:paraId="7B5214AB"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Plancheta</w:t>
            </w:r>
          </w:p>
        </w:tc>
        <w:tc>
          <w:tcPr>
            <w:tcW w:w="2400" w:type="dxa"/>
            <w:tcBorders>
              <w:top w:val="nil"/>
              <w:left w:val="nil"/>
              <w:bottom w:val="outset" w:sz="6" w:space="0" w:color="auto"/>
              <w:right w:val="outset" w:sz="6" w:space="0" w:color="auto"/>
            </w:tcBorders>
            <w:hideMark/>
          </w:tcPr>
          <w:p w14:paraId="16EFD0EB"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Combina poligonal, radiación y triangulación</w:t>
            </w:r>
          </w:p>
        </w:tc>
        <w:tc>
          <w:tcPr>
            <w:tcW w:w="2625" w:type="dxa"/>
            <w:tcBorders>
              <w:top w:val="nil"/>
              <w:left w:val="nil"/>
              <w:bottom w:val="outset" w:sz="6" w:space="0" w:color="auto"/>
              <w:right w:val="outset" w:sz="6" w:space="0" w:color="auto"/>
            </w:tcBorders>
            <w:hideMark/>
          </w:tcPr>
          <w:p w14:paraId="092E9753"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Levantamiento y dibujo simultáneo en campo abierto</w:t>
            </w:r>
          </w:p>
        </w:tc>
        <w:tc>
          <w:tcPr>
            <w:tcW w:w="2625" w:type="dxa"/>
            <w:tcBorders>
              <w:top w:val="nil"/>
              <w:left w:val="nil"/>
              <w:bottom w:val="outset" w:sz="6" w:space="0" w:color="auto"/>
              <w:right w:val="outset" w:sz="6" w:space="0" w:color="auto"/>
            </w:tcBorders>
            <w:hideMark/>
          </w:tcPr>
          <w:p w14:paraId="5B6FF75C" w14:textId="77777777" w:rsidR="0001769F" w:rsidRPr="00340568" w:rsidRDefault="0001769F">
            <w:pPr>
              <w:ind w:left="0" w:hanging="2"/>
              <w:rPr>
                <w:rFonts w:asciiTheme="majorHAnsi" w:hAnsiTheme="majorHAnsi" w:cstheme="majorHAnsi"/>
                <w:sz w:val="22"/>
                <w:szCs w:val="22"/>
              </w:rPr>
            </w:pPr>
            <w:r w:rsidRPr="00340568">
              <w:rPr>
                <w:rFonts w:asciiTheme="majorHAnsi" w:hAnsiTheme="majorHAnsi" w:cstheme="majorHAnsi"/>
                <w:sz w:val="22"/>
                <w:szCs w:val="22"/>
              </w:rPr>
              <w:t>El mapa se traza directamente en el terreno</w:t>
            </w:r>
          </w:p>
        </w:tc>
      </w:tr>
    </w:tbl>
    <w:p w14:paraId="419D6509" w14:textId="77777777" w:rsidR="0001769F" w:rsidRPr="00340568" w:rsidRDefault="0001769F"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bookmarkEnd w:id="0"/>
    <w:p w14:paraId="2374AE3F" w14:textId="4E4D7543" w:rsidR="00006EF6" w:rsidRPr="00340568" w:rsidRDefault="00006EF6" w:rsidP="0001769F">
      <w:pPr>
        <w:pBdr>
          <w:top w:val="nil"/>
          <w:left w:val="nil"/>
          <w:bottom w:val="nil"/>
          <w:right w:val="nil"/>
          <w:between w:val="nil"/>
        </w:pBdr>
        <w:ind w:leftChars="0" w:left="0" w:firstLineChars="0" w:firstLine="0"/>
        <w:jc w:val="both"/>
        <w:rPr>
          <w:rFonts w:asciiTheme="majorHAnsi" w:hAnsiTheme="majorHAnsi" w:cstheme="majorHAnsi"/>
          <w:bCs/>
          <w:color w:val="000000"/>
          <w:sz w:val="22"/>
          <w:szCs w:val="22"/>
        </w:rPr>
      </w:pPr>
    </w:p>
    <w:p w14:paraId="488A5255" w14:textId="77777777" w:rsidR="00006EF6" w:rsidRPr="00340568" w:rsidRDefault="00006EF6" w:rsidP="00006EF6">
      <w:pPr>
        <w:pStyle w:val="Listaconvietas"/>
        <w:numPr>
          <w:ilvl w:val="0"/>
          <w:numId w:val="0"/>
        </w:numPr>
        <w:jc w:val="left"/>
        <w:rPr>
          <w:rFonts w:asciiTheme="majorHAnsi" w:eastAsia="Calibri" w:hAnsiTheme="majorHAnsi" w:cstheme="majorHAnsi"/>
          <w:sz w:val="22"/>
          <w:szCs w:val="22"/>
        </w:rPr>
      </w:pPr>
      <w:r w:rsidRPr="00340568">
        <w:rPr>
          <w:rFonts w:asciiTheme="majorHAnsi" w:hAnsiTheme="majorHAnsi" w:cstheme="majorHAnsi"/>
          <w:bCs/>
          <w:color w:val="000000"/>
          <w:sz w:val="22"/>
          <w:szCs w:val="22"/>
        </w:rPr>
        <w:t xml:space="preserve">4.2 Realizar la lectura de este link </w:t>
      </w:r>
      <w:proofErr w:type="spellStart"/>
      <w:r w:rsidRPr="00340568">
        <w:rPr>
          <w:rFonts w:asciiTheme="majorHAnsi" w:hAnsiTheme="majorHAnsi" w:cstheme="majorHAnsi"/>
          <w:bCs/>
          <w:color w:val="000000"/>
          <w:sz w:val="22"/>
          <w:szCs w:val="22"/>
        </w:rPr>
        <w:t>Link</w:t>
      </w:r>
      <w:proofErr w:type="spellEnd"/>
      <w:r w:rsidRPr="00340568">
        <w:rPr>
          <w:rFonts w:asciiTheme="majorHAnsi" w:hAnsiTheme="majorHAnsi" w:cstheme="majorHAnsi"/>
          <w:bCs/>
          <w:color w:val="000000"/>
          <w:sz w:val="22"/>
          <w:szCs w:val="22"/>
        </w:rPr>
        <w:t xml:space="preserve"> </w:t>
      </w:r>
      <w:r w:rsidRPr="00340568">
        <w:rPr>
          <w:rFonts w:asciiTheme="majorHAnsi" w:hAnsiTheme="majorHAnsi" w:cstheme="majorHAnsi"/>
          <w:bCs/>
          <w:sz w:val="22"/>
          <w:szCs w:val="22"/>
        </w:rPr>
        <w:t>http://topografialeo.blogspot.com/2012/08/normatiividad-legal-entopografia.html</w:t>
      </w:r>
    </w:p>
    <w:p w14:paraId="15903A84" w14:textId="77777777" w:rsidR="00006EF6" w:rsidRPr="00340568"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p>
    <w:p w14:paraId="7D856AE8" w14:textId="32A596A0" w:rsidR="00006EF6" w:rsidRPr="00340568"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Luego de forma individual responda las siguientes preguntas:</w:t>
      </w:r>
    </w:p>
    <w:p w14:paraId="012A2305" w14:textId="77777777" w:rsidR="00E82751" w:rsidRPr="00340568" w:rsidRDefault="00E82751"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7AF67929" w14:textId="02138054" w:rsidR="00C34906" w:rsidRPr="00340568"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340568">
        <w:rPr>
          <w:rFonts w:asciiTheme="majorHAnsi" w:hAnsiTheme="majorHAnsi" w:cstheme="majorHAnsi"/>
          <w:color w:val="333333"/>
          <w:sz w:val="22"/>
          <w:szCs w:val="22"/>
          <w:shd w:val="clear" w:color="auto" w:fill="FFFFFF"/>
        </w:rPr>
        <w:t>Este Estatuto se ocupa de regular los siguientes aspectos básicos:</w:t>
      </w:r>
    </w:p>
    <w:p w14:paraId="77EBB708" w14:textId="28D9B06F" w:rsidR="005B270C" w:rsidRPr="00340568"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25255FC" w14:textId="32A694CA" w:rsidR="005B270C" w:rsidRPr="00340568"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¿Definición de la Profesión?</w:t>
      </w:r>
    </w:p>
    <w:p w14:paraId="3BA6D955" w14:textId="05289575" w:rsidR="005B270C" w:rsidRPr="00340568" w:rsidRDefault="0001769F"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R/</w:t>
      </w:r>
    </w:p>
    <w:p w14:paraId="00FA65C0" w14:textId="3ECCB9C7" w:rsidR="0001769F" w:rsidRPr="00340568" w:rsidRDefault="0001769F"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340568">
        <w:rPr>
          <w:rFonts w:asciiTheme="majorHAnsi" w:hAnsiTheme="majorHAnsi" w:cstheme="majorHAnsi"/>
          <w:sz w:val="22"/>
          <w:szCs w:val="22"/>
        </w:rPr>
        <w:t>La topografía es la profesión auxiliar de la ingeniería encargada de determinar la posición y configuración del terreno (su planimetría y altimetría) mediante mediciones de campo</w:t>
      </w:r>
    </w:p>
    <w:p w14:paraId="29D67010" w14:textId="134EEAC0" w:rsidR="005B270C" w:rsidRPr="00340568" w:rsidRDefault="005B270C" w:rsidP="0001769F">
      <w:pPr>
        <w:pBdr>
          <w:top w:val="nil"/>
          <w:left w:val="nil"/>
          <w:bottom w:val="nil"/>
          <w:right w:val="nil"/>
          <w:between w:val="nil"/>
        </w:pBdr>
        <w:ind w:leftChars="0" w:left="0" w:firstLineChars="0" w:firstLine="0"/>
        <w:jc w:val="both"/>
        <w:rPr>
          <w:rFonts w:asciiTheme="majorHAnsi" w:hAnsiTheme="majorHAnsi" w:cstheme="majorHAnsi"/>
          <w:bCs/>
          <w:color w:val="000000"/>
          <w:sz w:val="22"/>
          <w:szCs w:val="22"/>
        </w:rPr>
      </w:pPr>
    </w:p>
    <w:p w14:paraId="56B019B8" w14:textId="3CD778FE" w:rsidR="005B270C" w:rsidRPr="00340568"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31497740" w14:textId="51089DD2" w:rsidR="005B270C" w:rsidRPr="00340568"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 xml:space="preserve">¿Funciones del Topógrafo y </w:t>
      </w:r>
      <w:r w:rsidR="001134AB" w:rsidRPr="00340568">
        <w:rPr>
          <w:rFonts w:asciiTheme="majorHAnsi" w:hAnsiTheme="majorHAnsi" w:cstheme="majorHAnsi"/>
          <w:bCs/>
          <w:color w:val="000000"/>
          <w:sz w:val="22"/>
          <w:szCs w:val="22"/>
        </w:rPr>
        <w:t xml:space="preserve">sus </w:t>
      </w:r>
      <w:r w:rsidRPr="00340568">
        <w:rPr>
          <w:rFonts w:asciiTheme="majorHAnsi" w:hAnsiTheme="majorHAnsi" w:cstheme="majorHAnsi"/>
          <w:bCs/>
          <w:color w:val="000000"/>
          <w:sz w:val="22"/>
          <w:szCs w:val="22"/>
        </w:rPr>
        <w:t>áreas de Actividad?</w:t>
      </w:r>
    </w:p>
    <w:p w14:paraId="529B54AF" w14:textId="0FEA8636" w:rsidR="0001769F" w:rsidRPr="00340568" w:rsidRDefault="0001769F"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R/</w:t>
      </w:r>
    </w:p>
    <w:p w14:paraId="6F1E4AD2" w14:textId="77777777" w:rsidR="0001769F" w:rsidRPr="00340568" w:rsidRDefault="0001769F" w:rsidP="0001769F">
      <w:pPr>
        <w:ind w:left="0" w:hanging="2"/>
        <w:rPr>
          <w:rFonts w:asciiTheme="majorHAnsi" w:hAnsiTheme="majorHAnsi" w:cstheme="majorHAnsi"/>
          <w:position w:val="0"/>
          <w:sz w:val="22"/>
          <w:szCs w:val="22"/>
          <w:lang w:eastAsia="en-US"/>
        </w:rPr>
      </w:pPr>
      <w:r w:rsidRPr="00340568">
        <w:rPr>
          <w:rFonts w:asciiTheme="majorHAnsi" w:hAnsiTheme="majorHAnsi" w:cstheme="majorHAnsi"/>
          <w:sz w:val="22"/>
          <w:szCs w:val="22"/>
        </w:rPr>
        <w:t>La licencia profesional de topógrafo es expedida por el Consejo Profesional Nacional de Topografía (CPNT), de acuerdo con la Ley 70 de 1979 y su decreto reglamentario, el Decreto 690 de 1981. Para obtenerla, el aspirante debe acreditar:</w:t>
      </w:r>
    </w:p>
    <w:p w14:paraId="782948CE" w14:textId="77777777" w:rsidR="0001769F" w:rsidRPr="00340568" w:rsidRDefault="0001769F" w:rsidP="0001769F">
      <w:pPr>
        <w:pStyle w:val="Prrafodelista1"/>
        <w:suppressAutoHyphens w:val="0"/>
        <w:spacing w:before="0" w:beforeAutospacing="0" w:after="0" w:afterAutospacing="0" w:line="240" w:lineRule="auto"/>
        <w:textAlignment w:val="auto"/>
        <w:outlineLvl w:val="9"/>
        <w:rPr>
          <w:rFonts w:asciiTheme="majorHAnsi" w:hAnsiTheme="majorHAnsi" w:cstheme="majorHAnsi"/>
          <w:sz w:val="22"/>
          <w:szCs w:val="22"/>
          <w:lang w:val="es-ES"/>
        </w:rPr>
      </w:pPr>
      <w:r w:rsidRPr="00340568">
        <w:rPr>
          <w:rFonts w:asciiTheme="majorHAnsi" w:hAnsiTheme="majorHAnsi" w:cstheme="majorHAnsi"/>
          <w:sz w:val="22"/>
          <w:szCs w:val="22"/>
          <w:lang w:val="es-ES"/>
        </w:rPr>
        <w:t>Título de topógrafo otorgado por una institución educativa reconocida, o experiencia certificada de varios años en el ejercicio de la profesión (para quienes ejercían antes de la creación del Consejo).</w:t>
      </w:r>
    </w:p>
    <w:p w14:paraId="62DB040A" w14:textId="77777777" w:rsidR="0001769F" w:rsidRPr="00340568" w:rsidRDefault="0001769F" w:rsidP="0001769F">
      <w:pPr>
        <w:pStyle w:val="Prrafodelista1"/>
        <w:suppressAutoHyphens w:val="0"/>
        <w:spacing w:before="0" w:beforeAutospacing="0" w:after="0" w:afterAutospacing="0" w:line="240" w:lineRule="auto"/>
        <w:textAlignment w:val="auto"/>
        <w:outlineLvl w:val="9"/>
        <w:rPr>
          <w:rFonts w:asciiTheme="majorHAnsi" w:hAnsiTheme="majorHAnsi" w:cstheme="majorHAnsi"/>
          <w:sz w:val="22"/>
          <w:szCs w:val="22"/>
          <w:lang w:val="es-ES"/>
        </w:rPr>
      </w:pPr>
      <w:r w:rsidRPr="00340568">
        <w:rPr>
          <w:rFonts w:asciiTheme="majorHAnsi" w:hAnsiTheme="majorHAnsi" w:cstheme="majorHAnsi"/>
          <w:sz w:val="22"/>
          <w:szCs w:val="22"/>
          <w:lang w:val="es-ES"/>
        </w:rPr>
        <w:t>Presentación de la documentación que demuestre idoneidad (diplomas, certificados laborales, etc.) ante el CPNT o sus seccionales.</w:t>
      </w:r>
    </w:p>
    <w:p w14:paraId="0736E18E" w14:textId="77777777" w:rsidR="0001769F" w:rsidRPr="00340568" w:rsidRDefault="0001769F" w:rsidP="0001769F">
      <w:pPr>
        <w:pStyle w:val="Prrafodelista1"/>
        <w:suppressAutoHyphens w:val="0"/>
        <w:spacing w:before="0" w:beforeAutospacing="0" w:after="0" w:afterAutospacing="0" w:line="240" w:lineRule="auto"/>
        <w:textAlignment w:val="auto"/>
        <w:outlineLvl w:val="9"/>
        <w:rPr>
          <w:rFonts w:asciiTheme="majorHAnsi" w:hAnsiTheme="majorHAnsi" w:cstheme="majorHAnsi"/>
          <w:sz w:val="22"/>
          <w:szCs w:val="22"/>
          <w:lang w:val="es-ES"/>
        </w:rPr>
      </w:pPr>
      <w:r w:rsidRPr="00340568">
        <w:rPr>
          <w:rFonts w:asciiTheme="majorHAnsi" w:hAnsiTheme="majorHAnsi" w:cstheme="majorHAnsi"/>
          <w:sz w:val="22"/>
          <w:szCs w:val="22"/>
          <w:lang w:val="es-ES"/>
        </w:rPr>
        <w:t>Aprobación del examen de idoneidad profesional cuando corresponda.</w:t>
      </w:r>
    </w:p>
    <w:p w14:paraId="5F77C9F8" w14:textId="77777777" w:rsidR="0001769F" w:rsidRPr="00340568" w:rsidRDefault="0001769F" w:rsidP="0001769F">
      <w:pPr>
        <w:ind w:left="0" w:hanging="2"/>
        <w:rPr>
          <w:rFonts w:asciiTheme="majorHAnsi" w:hAnsiTheme="majorHAnsi" w:cstheme="majorHAnsi"/>
          <w:sz w:val="22"/>
          <w:szCs w:val="22"/>
        </w:rPr>
      </w:pPr>
      <w:r w:rsidRPr="00340568">
        <w:rPr>
          <w:rFonts w:asciiTheme="majorHAnsi" w:hAnsiTheme="majorHAnsi" w:cstheme="majorHAnsi"/>
          <w:sz w:val="22"/>
          <w:szCs w:val="22"/>
        </w:rPr>
        <w:t>Sin esta licencia no es posible ejercer legalmente como topógrafo, usar el título o las abreviaturas correspondientes en placas, tarjetas o publicaciones; hacerlo sin licencia se sanciona como ejercicio ilegal de una profesión.</w:t>
      </w:r>
    </w:p>
    <w:p w14:paraId="332B91BF" w14:textId="24BE5754" w:rsidR="0001769F" w:rsidRPr="00340568" w:rsidRDefault="0001769F"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6F32AFB7" w14:textId="77777777" w:rsidR="0001769F" w:rsidRPr="00340568" w:rsidRDefault="0001769F" w:rsidP="0001769F">
      <w:pPr>
        <w:ind w:left="0" w:hanging="2"/>
        <w:jc w:val="both"/>
        <w:rPr>
          <w:rFonts w:asciiTheme="majorHAnsi" w:hAnsiTheme="majorHAnsi" w:cstheme="majorHAnsi"/>
          <w:bCs/>
          <w:color w:val="000000"/>
          <w:position w:val="0"/>
          <w:sz w:val="22"/>
          <w:szCs w:val="22"/>
          <w:lang w:eastAsia="en-US"/>
        </w:rPr>
      </w:pPr>
      <w:r w:rsidRPr="00340568">
        <w:rPr>
          <w:rFonts w:asciiTheme="majorHAnsi" w:hAnsiTheme="majorHAnsi" w:cstheme="majorHAnsi"/>
          <w:bCs/>
          <w:color w:val="000000"/>
          <w:sz w:val="22"/>
          <w:szCs w:val="22"/>
        </w:rPr>
        <w:t>¿Funciones del Topógrafo y sus áreas de Actividad?</w:t>
      </w:r>
    </w:p>
    <w:p w14:paraId="3528F58D" w14:textId="2C68BE24" w:rsidR="0001769F" w:rsidRPr="00340568" w:rsidRDefault="0001769F"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R/</w:t>
      </w:r>
    </w:p>
    <w:p w14:paraId="53697073" w14:textId="77777777" w:rsidR="0001769F" w:rsidRPr="00340568" w:rsidRDefault="0001769F" w:rsidP="0001769F">
      <w:pPr>
        <w:ind w:left="0" w:hanging="2"/>
        <w:rPr>
          <w:rFonts w:asciiTheme="majorHAnsi" w:hAnsiTheme="majorHAnsi" w:cstheme="majorHAnsi"/>
          <w:position w:val="0"/>
          <w:sz w:val="22"/>
          <w:szCs w:val="22"/>
          <w:lang w:eastAsia="en-US"/>
        </w:rPr>
      </w:pPr>
      <w:r w:rsidRPr="00340568">
        <w:rPr>
          <w:rFonts w:asciiTheme="majorHAnsi" w:hAnsiTheme="majorHAnsi" w:cstheme="majorHAnsi"/>
          <w:sz w:val="22"/>
          <w:szCs w:val="22"/>
        </w:rPr>
        <w:t>El topógrafo realiza levantamientos planimétricos y altimétricos del terreno, procesa la información de campo y elabora planos y mapas que sirven de soporte técnico a otras profesiones. Sus principales áreas de actividad incluyen:</w:t>
      </w:r>
    </w:p>
    <w:p w14:paraId="0F0BC971" w14:textId="77777777" w:rsidR="0001769F" w:rsidRPr="00340568" w:rsidRDefault="0001769F" w:rsidP="0001769F">
      <w:pPr>
        <w:pStyle w:val="Prrafodelista1"/>
        <w:numPr>
          <w:ilvl w:val="0"/>
          <w:numId w:val="8"/>
        </w:numPr>
        <w:suppressAutoHyphens w:val="0"/>
        <w:spacing w:before="0" w:beforeAutospacing="0" w:after="0" w:afterAutospacing="0" w:line="240" w:lineRule="auto"/>
        <w:ind w:left="0"/>
        <w:textAlignment w:val="auto"/>
        <w:outlineLvl w:val="9"/>
        <w:rPr>
          <w:rFonts w:asciiTheme="majorHAnsi" w:hAnsiTheme="majorHAnsi" w:cstheme="majorHAnsi"/>
          <w:sz w:val="22"/>
          <w:szCs w:val="22"/>
          <w:lang w:val="es-ES"/>
        </w:rPr>
      </w:pPr>
      <w:r w:rsidRPr="00340568">
        <w:rPr>
          <w:rFonts w:asciiTheme="majorHAnsi" w:hAnsiTheme="majorHAnsi" w:cstheme="majorHAnsi"/>
          <w:sz w:val="22"/>
          <w:szCs w:val="22"/>
          <w:lang w:val="es-ES"/>
        </w:rPr>
        <w:t>Levantamientos topográficos para proyectos de ingeniería civil (vías, puentes, edificaciones).</w:t>
      </w:r>
    </w:p>
    <w:p w14:paraId="523BA979" w14:textId="77777777" w:rsidR="0001769F" w:rsidRPr="00340568" w:rsidRDefault="0001769F" w:rsidP="0001769F">
      <w:pPr>
        <w:pStyle w:val="Prrafodelista1"/>
        <w:numPr>
          <w:ilvl w:val="0"/>
          <w:numId w:val="8"/>
        </w:numPr>
        <w:suppressAutoHyphens w:val="0"/>
        <w:spacing w:before="0" w:beforeAutospacing="0" w:after="0" w:afterAutospacing="0" w:line="240" w:lineRule="auto"/>
        <w:ind w:left="0"/>
        <w:textAlignment w:val="auto"/>
        <w:outlineLvl w:val="9"/>
        <w:rPr>
          <w:rFonts w:asciiTheme="majorHAnsi" w:hAnsiTheme="majorHAnsi" w:cstheme="majorHAnsi"/>
          <w:sz w:val="22"/>
          <w:szCs w:val="22"/>
          <w:lang w:val="es-ES"/>
        </w:rPr>
      </w:pPr>
      <w:r w:rsidRPr="00340568">
        <w:rPr>
          <w:rFonts w:asciiTheme="majorHAnsi" w:hAnsiTheme="majorHAnsi" w:cstheme="majorHAnsi"/>
          <w:sz w:val="22"/>
          <w:szCs w:val="22"/>
          <w:lang w:val="es-ES"/>
        </w:rPr>
        <w:lastRenderedPageBreak/>
        <w:t>Apoyo a procesos catastrales y de georreferenciación del territorio.</w:t>
      </w:r>
    </w:p>
    <w:p w14:paraId="73436A01" w14:textId="77777777" w:rsidR="0001769F" w:rsidRPr="00340568" w:rsidRDefault="0001769F" w:rsidP="0001769F">
      <w:pPr>
        <w:pStyle w:val="Prrafodelista1"/>
        <w:numPr>
          <w:ilvl w:val="0"/>
          <w:numId w:val="8"/>
        </w:numPr>
        <w:suppressAutoHyphens w:val="0"/>
        <w:spacing w:before="0" w:beforeAutospacing="0" w:after="0" w:afterAutospacing="0" w:line="240" w:lineRule="auto"/>
        <w:ind w:left="0"/>
        <w:textAlignment w:val="auto"/>
        <w:outlineLvl w:val="9"/>
        <w:rPr>
          <w:rFonts w:asciiTheme="majorHAnsi" w:hAnsiTheme="majorHAnsi" w:cstheme="majorHAnsi"/>
          <w:sz w:val="22"/>
          <w:szCs w:val="22"/>
          <w:lang w:val="es-ES"/>
        </w:rPr>
      </w:pPr>
      <w:r w:rsidRPr="00340568">
        <w:rPr>
          <w:rFonts w:asciiTheme="majorHAnsi" w:hAnsiTheme="majorHAnsi" w:cstheme="majorHAnsi"/>
          <w:sz w:val="22"/>
          <w:szCs w:val="22"/>
          <w:lang w:val="es-ES"/>
        </w:rPr>
        <w:t>Replanteo y control de obras de construcción y urbanismo.</w:t>
      </w:r>
    </w:p>
    <w:p w14:paraId="45398207" w14:textId="6A37A1B4" w:rsidR="0001769F" w:rsidRPr="00340568" w:rsidRDefault="0001769F" w:rsidP="0001769F">
      <w:pPr>
        <w:pStyle w:val="Prrafodelista1"/>
        <w:numPr>
          <w:ilvl w:val="0"/>
          <w:numId w:val="8"/>
        </w:numPr>
        <w:suppressAutoHyphens w:val="0"/>
        <w:spacing w:before="0" w:beforeAutospacing="0" w:after="0" w:afterAutospacing="0" w:line="240" w:lineRule="auto"/>
        <w:ind w:left="0"/>
        <w:textAlignment w:val="auto"/>
        <w:outlineLvl w:val="9"/>
        <w:rPr>
          <w:rFonts w:asciiTheme="majorHAnsi" w:hAnsiTheme="majorHAnsi" w:cstheme="majorHAnsi"/>
          <w:sz w:val="22"/>
          <w:szCs w:val="22"/>
          <w:lang w:val="es-ES"/>
        </w:rPr>
      </w:pPr>
      <w:r w:rsidRPr="00340568">
        <w:rPr>
          <w:rFonts w:asciiTheme="majorHAnsi" w:hAnsiTheme="majorHAnsi" w:cstheme="majorHAnsi"/>
          <w:sz w:val="22"/>
          <w:szCs w:val="22"/>
          <w:lang w:val="es-ES"/>
        </w:rPr>
        <w:t>Levantamientos para proyectos agrícolas, mineros, ambientales y de infraestructura en general.</w:t>
      </w:r>
    </w:p>
    <w:p w14:paraId="49532B97" w14:textId="4A3E1E82" w:rsidR="0001769F" w:rsidRPr="00340568" w:rsidRDefault="0001769F" w:rsidP="0001769F">
      <w:pPr>
        <w:pBdr>
          <w:top w:val="nil"/>
          <w:left w:val="nil"/>
          <w:bottom w:val="nil"/>
          <w:right w:val="nil"/>
          <w:between w:val="nil"/>
        </w:pBdr>
        <w:ind w:left="0" w:hanging="2"/>
        <w:jc w:val="both"/>
        <w:rPr>
          <w:rFonts w:asciiTheme="majorHAnsi" w:hAnsiTheme="majorHAnsi" w:cstheme="majorHAnsi"/>
          <w:bCs/>
          <w:color w:val="000000"/>
          <w:sz w:val="22"/>
          <w:szCs w:val="22"/>
        </w:rPr>
      </w:pPr>
      <w:r w:rsidRPr="00340568">
        <w:rPr>
          <w:rFonts w:asciiTheme="majorHAnsi" w:hAnsiTheme="majorHAnsi" w:cstheme="majorHAnsi"/>
          <w:sz w:val="22"/>
          <w:szCs w:val="22"/>
        </w:rPr>
        <w:t>Elaboración de planos planimétricos y altimétricos según normativa técnica vigente</w:t>
      </w:r>
    </w:p>
    <w:p w14:paraId="3E658AED" w14:textId="588F82A2" w:rsidR="005B270C" w:rsidRPr="00340568"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14936735" w14:textId="049AE381" w:rsidR="005B270C" w:rsidRPr="00340568"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El Consejo Profesional Nacional de Topografía está reglamentado por las siguientes leyes:</w:t>
      </w:r>
    </w:p>
    <w:p w14:paraId="45168A81" w14:textId="0CCC4B03" w:rsidR="005B270C" w:rsidRPr="00340568"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2A73123B" w14:textId="206F1224" w:rsidR="0001769F" w:rsidRPr="00340568"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¿En qu</w:t>
      </w:r>
      <w:r w:rsidR="005E38D9" w:rsidRPr="00340568">
        <w:rPr>
          <w:rFonts w:asciiTheme="majorHAnsi" w:hAnsiTheme="majorHAnsi" w:cstheme="majorHAnsi"/>
          <w:color w:val="333333"/>
          <w:sz w:val="22"/>
          <w:szCs w:val="22"/>
          <w:shd w:val="clear" w:color="auto" w:fill="FFFFFF"/>
        </w:rPr>
        <w:t>é</w:t>
      </w:r>
      <w:r w:rsidRPr="00340568">
        <w:rPr>
          <w:rFonts w:asciiTheme="majorHAnsi" w:hAnsiTheme="majorHAnsi" w:cstheme="majorHAnsi"/>
          <w:color w:val="333333"/>
          <w:sz w:val="22"/>
          <w:szCs w:val="22"/>
          <w:shd w:val="clear" w:color="auto" w:fill="FFFFFF"/>
        </w:rPr>
        <w:t xml:space="preserve"> consiste la ley </w:t>
      </w:r>
      <w:r w:rsidR="008862B6" w:rsidRPr="00340568">
        <w:rPr>
          <w:rFonts w:asciiTheme="majorHAnsi" w:hAnsiTheme="majorHAnsi" w:cstheme="majorHAnsi"/>
          <w:color w:val="333333"/>
          <w:sz w:val="22"/>
          <w:szCs w:val="22"/>
          <w:shd w:val="clear" w:color="auto" w:fill="FFFFFF"/>
        </w:rPr>
        <w:t>70 de 1979?</w:t>
      </w:r>
    </w:p>
    <w:p w14:paraId="6017C2C5" w14:textId="55468BCA" w:rsidR="0001769F" w:rsidRPr="00340568" w:rsidRDefault="0001769F"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R/</w:t>
      </w:r>
    </w:p>
    <w:p w14:paraId="0E6D94A2" w14:textId="08A5F632" w:rsidR="0001769F" w:rsidRPr="00340568" w:rsidRDefault="0001769F"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sz w:val="22"/>
          <w:szCs w:val="22"/>
        </w:rPr>
        <w:t>Es la norma que reglamenta el ejercicio de la profesión de topógrafo en Colombia. Define los requisitos para obtener la licencia profesional, crea el Consejo Profesional Nacional de Topografía (integrado, entre otros, por el Ministro de Obras Públicas, el Ministro de Educación, un representante de ASCUN y dos representantes de los gremios de topógrafos) y le asigna funciones como expedir y cancelar licencias, fijar derechos de expedición y emitir conceptos sobre la profesión</w:t>
      </w:r>
    </w:p>
    <w:p w14:paraId="11527FBA" w14:textId="77777777" w:rsidR="0001769F" w:rsidRPr="00340568" w:rsidRDefault="0001769F"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6672A65E" w14:textId="77777777" w:rsidR="0001769F" w:rsidRPr="00340568" w:rsidRDefault="002C6562"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ab/>
      </w:r>
      <w:r w:rsidR="005E38D9" w:rsidRPr="00340568">
        <w:rPr>
          <w:rFonts w:asciiTheme="majorHAnsi" w:hAnsiTheme="majorHAnsi" w:cstheme="majorHAnsi"/>
          <w:color w:val="333333"/>
          <w:sz w:val="22"/>
          <w:szCs w:val="22"/>
          <w:shd w:val="clear" w:color="auto" w:fill="FFFFFF"/>
        </w:rPr>
        <w:t xml:space="preserve">¿En qué consiste </w:t>
      </w:r>
      <w:r w:rsidR="008862B6" w:rsidRPr="00340568">
        <w:rPr>
          <w:rFonts w:asciiTheme="majorHAnsi" w:hAnsiTheme="majorHAnsi" w:cstheme="majorHAnsi"/>
          <w:color w:val="333333"/>
          <w:sz w:val="22"/>
          <w:szCs w:val="22"/>
          <w:shd w:val="clear" w:color="auto" w:fill="FFFFFF"/>
        </w:rPr>
        <w:t>El decreto 690 de 1981?</w:t>
      </w:r>
    </w:p>
    <w:p w14:paraId="7B941CA5" w14:textId="278817AF" w:rsidR="0001769F" w:rsidRPr="00340568" w:rsidRDefault="0001769F"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R/</w:t>
      </w:r>
    </w:p>
    <w:p w14:paraId="43BE948A" w14:textId="77777777" w:rsidR="0001769F" w:rsidRPr="00340568" w:rsidRDefault="0001769F" w:rsidP="0001769F">
      <w:pPr>
        <w:ind w:left="0" w:hanging="2"/>
        <w:rPr>
          <w:rFonts w:asciiTheme="majorHAnsi" w:hAnsiTheme="majorHAnsi" w:cstheme="majorHAnsi"/>
          <w:position w:val="0"/>
          <w:sz w:val="22"/>
          <w:szCs w:val="22"/>
          <w:lang w:eastAsia="en-US"/>
        </w:rPr>
      </w:pPr>
      <w:r w:rsidRPr="00340568">
        <w:rPr>
          <w:rFonts w:asciiTheme="majorHAnsi" w:hAnsiTheme="majorHAnsi" w:cstheme="majorHAnsi"/>
          <w:sz w:val="22"/>
          <w:szCs w:val="22"/>
        </w:rPr>
        <w:t>Es el decreto que reglamenta la Ley 70 de 1979. Establece el procedimiento para solicitar la licencia de topógrafo ante el Consejo Profesional Nacional de Topografía (o sus consejos seccionales), los documentos exigidos para acreditar idoneidad, el trámite de homologación de títulos obtenidos en el exterior, las causales para negar la licencia (por ejemplo, suplantación o adulteración de documentos) y la integración de los representantes de topógrafos universitarios y empíricos ante el Consejo.</w:t>
      </w:r>
    </w:p>
    <w:p w14:paraId="2B0150AB" w14:textId="77777777" w:rsidR="0001769F" w:rsidRPr="00340568" w:rsidRDefault="0001769F"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44B77FA3" w14:textId="77777777" w:rsidR="0001769F" w:rsidRPr="00340568" w:rsidRDefault="002C6562"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ab/>
      </w:r>
      <w:r w:rsidR="005E38D9" w:rsidRPr="00340568">
        <w:rPr>
          <w:rFonts w:asciiTheme="majorHAnsi" w:hAnsiTheme="majorHAnsi" w:cstheme="majorHAnsi"/>
          <w:color w:val="333333"/>
          <w:sz w:val="22"/>
          <w:szCs w:val="22"/>
          <w:shd w:val="clear" w:color="auto" w:fill="FFFFFF"/>
        </w:rPr>
        <w:t xml:space="preserve">¿En qué consiste </w:t>
      </w:r>
      <w:r w:rsidR="008862B6" w:rsidRPr="00340568">
        <w:rPr>
          <w:rFonts w:asciiTheme="majorHAnsi" w:hAnsiTheme="majorHAnsi" w:cstheme="majorHAnsi"/>
          <w:color w:val="333333"/>
          <w:sz w:val="22"/>
          <w:szCs w:val="22"/>
          <w:shd w:val="clear" w:color="auto" w:fill="FFFFFF"/>
        </w:rPr>
        <w:t>La sentencia C-606 de 1992?</w:t>
      </w:r>
    </w:p>
    <w:p w14:paraId="0AD45DF5" w14:textId="510156FE" w:rsidR="0001769F" w:rsidRPr="00340568" w:rsidRDefault="0001769F"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R/</w:t>
      </w:r>
    </w:p>
    <w:p w14:paraId="40CEBFC8" w14:textId="517C0FC5" w:rsidR="0001769F" w:rsidRPr="00340568" w:rsidRDefault="0001769F" w:rsidP="0001769F">
      <w:pPr>
        <w:ind w:left="0" w:hanging="2"/>
        <w:rPr>
          <w:rFonts w:asciiTheme="majorHAnsi" w:hAnsiTheme="majorHAnsi" w:cstheme="majorHAnsi"/>
          <w:position w:val="0"/>
          <w:sz w:val="22"/>
          <w:szCs w:val="22"/>
          <w:lang w:eastAsia="en-US"/>
        </w:rPr>
      </w:pPr>
      <w:r w:rsidRPr="00340568">
        <w:rPr>
          <w:rFonts w:asciiTheme="majorHAnsi" w:hAnsiTheme="majorHAnsi" w:cstheme="majorHAnsi"/>
          <w:sz w:val="22"/>
          <w:szCs w:val="22"/>
        </w:rPr>
        <w:t>Es la sentencia mediante la cual la Corte Constitucional revisó una demanda de inconstitucionalidad contra varios artículos de la Ley 70 de 1979. La Corte declaró la ley exequible, es decir, ajustada a la Constitución, al considerar que el ejercicio de la topografía implica un riesgo social que justifica exigir un título de idoneidad para su ejercicio, salvo algunos incisos del artículo 4 que fueron declarados inexequibles.</w:t>
      </w:r>
    </w:p>
    <w:p w14:paraId="3B733C92" w14:textId="77777777" w:rsidR="0001769F" w:rsidRPr="00340568" w:rsidRDefault="0001769F"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670853AC" w14:textId="77777777" w:rsidR="0001769F" w:rsidRPr="00340568"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 xml:space="preserve"> ¿En qué consiste </w:t>
      </w:r>
      <w:r w:rsidR="008862B6" w:rsidRPr="00340568">
        <w:rPr>
          <w:rFonts w:asciiTheme="majorHAnsi" w:hAnsiTheme="majorHAnsi" w:cstheme="majorHAnsi"/>
          <w:color w:val="333333"/>
          <w:sz w:val="22"/>
          <w:szCs w:val="22"/>
          <w:shd w:val="clear" w:color="auto" w:fill="FFFFFF"/>
        </w:rPr>
        <w:t>La sentencia C-1213 de 2002?</w:t>
      </w:r>
    </w:p>
    <w:p w14:paraId="5A0974E5" w14:textId="39372FAF" w:rsidR="0001769F" w:rsidRPr="00340568" w:rsidRDefault="0001769F"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R/</w:t>
      </w:r>
    </w:p>
    <w:p w14:paraId="3E342FF8" w14:textId="77777777" w:rsidR="0001769F" w:rsidRPr="00340568" w:rsidRDefault="0001769F" w:rsidP="0001769F">
      <w:pPr>
        <w:ind w:left="0" w:hanging="2"/>
        <w:rPr>
          <w:rFonts w:asciiTheme="majorHAnsi" w:hAnsiTheme="majorHAnsi" w:cstheme="majorHAnsi"/>
          <w:position w:val="0"/>
          <w:sz w:val="22"/>
          <w:szCs w:val="22"/>
          <w:lang w:eastAsia="en-US"/>
        </w:rPr>
      </w:pPr>
      <w:r w:rsidRPr="00340568">
        <w:rPr>
          <w:rFonts w:asciiTheme="majorHAnsi" w:hAnsiTheme="majorHAnsi" w:cstheme="majorHAnsi"/>
          <w:sz w:val="22"/>
          <w:szCs w:val="22"/>
        </w:rPr>
        <w:t xml:space="preserve">En esta sentencia la Corte Constitucional reiteró la validez de la Ley 70 de 1979, al resolver una nueva demanda que argumentaba que, así como había ocurrido con la reglamentación del periodismo (declarada inexequible), debería aplicarse el mismo criterio a la topografía. La Corte concluyó que el periodismo y la topografía son actividades distintas, que la topografía sí implica un riesgo social por ser una profesión auxiliar fundamental para la ingeniería, y que por tanto no se configuraba un cambio de jurisprudencia: se mantuvo la </w:t>
      </w:r>
      <w:proofErr w:type="spellStart"/>
      <w:r w:rsidRPr="00340568">
        <w:rPr>
          <w:rFonts w:asciiTheme="majorHAnsi" w:hAnsiTheme="majorHAnsi" w:cstheme="majorHAnsi"/>
          <w:sz w:val="22"/>
          <w:szCs w:val="22"/>
        </w:rPr>
        <w:t>exequibilidad</w:t>
      </w:r>
      <w:proofErr w:type="spellEnd"/>
      <w:r w:rsidRPr="00340568">
        <w:rPr>
          <w:rFonts w:asciiTheme="majorHAnsi" w:hAnsiTheme="majorHAnsi" w:cstheme="majorHAnsi"/>
          <w:sz w:val="22"/>
          <w:szCs w:val="22"/>
        </w:rPr>
        <w:t xml:space="preserve"> de la ley conforme a lo ya decidido en la Sentencia C-606 de 1992.</w:t>
      </w:r>
    </w:p>
    <w:p w14:paraId="152D1B54" w14:textId="77777777" w:rsidR="0001769F" w:rsidRPr="00340568" w:rsidRDefault="0001769F"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0C08A317" w14:textId="77777777" w:rsidR="00340568" w:rsidRPr="00340568"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 xml:space="preserve"> ¿En qué consiste </w:t>
      </w:r>
      <w:r w:rsidR="008862B6" w:rsidRPr="00340568">
        <w:rPr>
          <w:rFonts w:asciiTheme="majorHAnsi" w:hAnsiTheme="majorHAnsi" w:cstheme="majorHAnsi"/>
          <w:color w:val="333333"/>
          <w:sz w:val="22"/>
          <w:szCs w:val="22"/>
          <w:shd w:val="clear" w:color="auto" w:fill="FFFFFF"/>
        </w:rPr>
        <w:t>Decreto 2157 de 1995</w:t>
      </w:r>
      <w:r w:rsidR="00A36127" w:rsidRPr="00340568">
        <w:rPr>
          <w:rFonts w:asciiTheme="majorHAnsi" w:hAnsiTheme="majorHAnsi" w:cstheme="majorHAnsi"/>
          <w:color w:val="333333"/>
          <w:sz w:val="22"/>
          <w:szCs w:val="22"/>
          <w:shd w:val="clear" w:color="auto" w:fill="FFFFFF"/>
        </w:rPr>
        <w:t>?</w:t>
      </w:r>
    </w:p>
    <w:p w14:paraId="086E0869" w14:textId="743FFCC6" w:rsidR="00340568" w:rsidRPr="00340568" w:rsidRDefault="00340568"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R/</w:t>
      </w:r>
    </w:p>
    <w:p w14:paraId="55D1204E" w14:textId="717DB733" w:rsidR="00340568" w:rsidRPr="00340568" w:rsidRDefault="00340568"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Su principal objetivo es simplificar la identidad de los bienes inmuebles en escrituras públicas y registros.</w:t>
      </w:r>
    </w:p>
    <w:p w14:paraId="22E878B0" w14:textId="38AC9E1E" w:rsidR="00A36127" w:rsidRPr="00340568" w:rsidRDefault="002C6562"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340568">
        <w:rPr>
          <w:rFonts w:asciiTheme="majorHAnsi" w:hAnsiTheme="majorHAnsi" w:cstheme="majorHAnsi"/>
          <w:color w:val="333333"/>
          <w:sz w:val="22"/>
          <w:szCs w:val="22"/>
          <w:shd w:val="clear" w:color="auto" w:fill="FFFFFF"/>
        </w:rPr>
        <w:tab/>
      </w:r>
      <w:r w:rsidR="005E38D9" w:rsidRPr="00340568">
        <w:rPr>
          <w:rFonts w:asciiTheme="majorHAnsi" w:hAnsiTheme="majorHAnsi" w:cstheme="majorHAnsi"/>
          <w:color w:val="333333"/>
          <w:sz w:val="22"/>
          <w:szCs w:val="22"/>
          <w:shd w:val="clear" w:color="auto" w:fill="FFFFFF"/>
        </w:rPr>
        <w:t xml:space="preserve">¿En qué consiste </w:t>
      </w:r>
      <w:r w:rsidR="00A36127" w:rsidRPr="00340568">
        <w:rPr>
          <w:rFonts w:asciiTheme="majorHAnsi" w:hAnsiTheme="majorHAnsi" w:cstheme="majorHAnsi"/>
          <w:color w:val="333333"/>
          <w:sz w:val="22"/>
          <w:szCs w:val="22"/>
          <w:shd w:val="clear" w:color="auto" w:fill="FFFFFF"/>
        </w:rPr>
        <w:t xml:space="preserve">Decreto </w:t>
      </w:r>
      <w:r w:rsidR="001134AB" w:rsidRPr="00340568">
        <w:rPr>
          <w:rFonts w:asciiTheme="majorHAnsi" w:hAnsiTheme="majorHAnsi" w:cstheme="majorHAnsi"/>
          <w:color w:val="333333"/>
          <w:sz w:val="22"/>
          <w:szCs w:val="22"/>
          <w:shd w:val="clear" w:color="auto" w:fill="FFFFFF"/>
        </w:rPr>
        <w:t>7</w:t>
      </w:r>
      <w:r w:rsidR="00A36127" w:rsidRPr="00340568">
        <w:rPr>
          <w:rFonts w:asciiTheme="majorHAnsi" w:hAnsiTheme="majorHAnsi" w:cstheme="majorHAnsi"/>
          <w:color w:val="333333"/>
          <w:sz w:val="22"/>
          <w:szCs w:val="22"/>
          <w:shd w:val="clear" w:color="auto" w:fill="FFFFFF"/>
        </w:rPr>
        <w:t>92 de 2001?</w:t>
      </w:r>
    </w:p>
    <w:p w14:paraId="46520C37" w14:textId="217C3422" w:rsidR="005B270C" w:rsidRPr="00340568" w:rsidRDefault="00340568"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R/</w:t>
      </w:r>
    </w:p>
    <w:p w14:paraId="47E4FFC6" w14:textId="02A830D6" w:rsidR="00340568" w:rsidRPr="00340568" w:rsidRDefault="00340568" w:rsidP="00340568">
      <w:pPr>
        <w:pBdr>
          <w:top w:val="nil"/>
          <w:left w:val="nil"/>
          <w:bottom w:val="nil"/>
          <w:right w:val="nil"/>
          <w:between w:val="nil"/>
        </w:pBdr>
        <w:ind w:left="0" w:hanging="2"/>
        <w:jc w:val="both"/>
        <w:rPr>
          <w:rFonts w:asciiTheme="majorHAnsi" w:hAnsiTheme="majorHAnsi" w:cstheme="majorHAnsi"/>
          <w:bCs/>
          <w:color w:val="000000"/>
          <w:sz w:val="22"/>
          <w:szCs w:val="22"/>
        </w:rPr>
      </w:pPr>
      <w:r w:rsidRPr="00340568">
        <w:rPr>
          <w:rFonts w:asciiTheme="majorHAnsi" w:hAnsiTheme="majorHAnsi" w:cstheme="majorHAnsi"/>
          <w:bCs/>
          <w:color w:val="000000"/>
          <w:sz w:val="22"/>
          <w:szCs w:val="22"/>
        </w:rPr>
        <w:t>El Decreto 792 de 2001 estableció los estándares de calidad para los programas académicos de pregrado en ingeniería en Colombia, definiendo requisitos relacionados con la formación, investigación, docentes e infraestructura. Aunque fue derogado en 2003, contribuyó al mejoramiento de la calidad educativa de las carreras relacionadas con la topografía y la ingeniería.</w:t>
      </w:r>
    </w:p>
    <w:p w14:paraId="09662257" w14:textId="77777777" w:rsidR="00340568" w:rsidRPr="00340568" w:rsidRDefault="00340568" w:rsidP="00340568">
      <w:pPr>
        <w:pBdr>
          <w:top w:val="nil"/>
          <w:left w:val="nil"/>
          <w:bottom w:val="nil"/>
          <w:right w:val="nil"/>
          <w:between w:val="nil"/>
        </w:pBdr>
        <w:ind w:left="0" w:hanging="2"/>
        <w:jc w:val="both"/>
        <w:rPr>
          <w:rFonts w:asciiTheme="majorHAnsi" w:hAnsiTheme="majorHAnsi" w:cstheme="majorHAnsi"/>
          <w:bCs/>
          <w:color w:val="000000"/>
          <w:sz w:val="22"/>
          <w:szCs w:val="22"/>
        </w:rPr>
      </w:pPr>
    </w:p>
    <w:p w14:paraId="4D780721" w14:textId="77777777"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Desarrolle estos interrogantes en una mesa de trabajo con sus compañeros e instructor de formación, escriban sus conclusiones en un procesador de texto y preséntenlas en la sesión de formación.</w:t>
      </w:r>
    </w:p>
    <w:p w14:paraId="3AEE647D" w14:textId="77777777" w:rsidR="00D72C2D" w:rsidRDefault="00D72C2D"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05973A78" w14:textId="77777777" w:rsidR="00D72C2D" w:rsidRDefault="00D72C2D"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5516662E" w14:textId="77777777" w:rsidR="00D72C2D" w:rsidRDefault="00D72C2D"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547C8B54" w14:textId="77777777" w:rsidR="00D72C2D" w:rsidRDefault="00D72C2D"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39F28A1E" w14:textId="77777777" w:rsidR="00D72C2D" w:rsidRDefault="00D72C2D"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0552BED1" w14:textId="77777777" w:rsidR="00D72C2D" w:rsidRDefault="00D72C2D"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06D939D4" w14:textId="77777777" w:rsidR="00D72C2D" w:rsidRPr="002C6562" w:rsidRDefault="00D72C2D"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501C2A7B" w14:textId="77777777" w:rsidR="00C34906" w:rsidRPr="002C6562" w:rsidRDefault="00C34906"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0D2DF939" w14:textId="77777777" w:rsidR="00D72C2D" w:rsidRDefault="00B4067F">
            <w:pPr>
              <w:ind w:left="0" w:hanging="2"/>
              <w:jc w:val="both"/>
              <w:rPr>
                <w:rFonts w:ascii="Calibri" w:eastAsia="Calibri" w:hAnsi="Calibri" w:cs="Calibri"/>
                <w:sz w:val="28"/>
                <w:szCs w:val="28"/>
              </w:rPr>
            </w:pPr>
            <w:r>
              <w:rPr>
                <w:rFonts w:ascii="Calibri" w:eastAsia="Calibri" w:hAnsi="Calibri" w:cs="Calibri"/>
                <w:sz w:val="22"/>
                <w:szCs w:val="22"/>
              </w:rPr>
              <w:lastRenderedPageBreak/>
              <w:t>OBSERVACIONES:</w:t>
            </w:r>
            <w:r w:rsidR="00D72C2D" w:rsidRPr="00E26865">
              <w:rPr>
                <w:rFonts w:ascii="Calibri" w:eastAsia="Calibri" w:hAnsi="Calibri" w:cs="Calibri"/>
                <w:sz w:val="28"/>
                <w:szCs w:val="28"/>
              </w:rPr>
              <w:t xml:space="preserve"> </w:t>
            </w:r>
          </w:p>
          <w:p w14:paraId="6E8E1421" w14:textId="10DB8516" w:rsidR="00FA638A" w:rsidRDefault="00D72C2D">
            <w:pPr>
              <w:ind w:left="1" w:hanging="3"/>
              <w:jc w:val="both"/>
              <w:rPr>
                <w:rFonts w:ascii="Calibri" w:eastAsia="Calibri" w:hAnsi="Calibri" w:cs="Calibri"/>
                <w:sz w:val="22"/>
                <w:szCs w:val="22"/>
              </w:rPr>
            </w:pPr>
            <w:r>
              <w:rPr>
                <w:rFonts w:ascii="Calibri" w:eastAsia="Calibri" w:hAnsi="Calibri" w:cs="Calibri"/>
                <w:sz w:val="28"/>
                <w:szCs w:val="28"/>
              </w:rPr>
              <w:t xml:space="preserve">                                            </w:t>
            </w:r>
            <w:r w:rsidRPr="00E26865">
              <w:rPr>
                <w:rFonts w:ascii="Calibri" w:eastAsia="Calibri" w:hAnsi="Calibri" w:cs="Calibri"/>
                <w:sz w:val="28"/>
                <w:szCs w:val="28"/>
              </w:rPr>
              <w:t xml:space="preserve">CALIFICACION </w:t>
            </w:r>
            <w:r>
              <w:rPr>
                <w:rFonts w:ascii="Calibri" w:eastAsia="Calibri" w:hAnsi="Calibri" w:cs="Calibri"/>
                <w:sz w:val="28"/>
                <w:szCs w:val="28"/>
              </w:rPr>
              <w:t xml:space="preserve">90 </w:t>
            </w:r>
            <w:r w:rsidRPr="00E26865">
              <w:rPr>
                <w:rFonts w:ascii="Calibri" w:eastAsia="Calibri" w:hAnsi="Calibri" w:cs="Calibri"/>
                <w:sz w:val="28"/>
                <w:szCs w:val="28"/>
              </w:rPr>
              <w:t>%</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37F364D5"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D72C2D">
              <w:rPr>
                <w:rFonts w:ascii="Calibri" w:eastAsia="Calibri" w:hAnsi="Calibri" w:cs="Calibri"/>
                <w:b/>
                <w:sz w:val="22"/>
                <w:szCs w:val="22"/>
              </w:rPr>
              <w:t xml:space="preserve">    </w:t>
            </w:r>
            <w:r w:rsidR="00D72C2D"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73DF2A60" w14:textId="77777777" w:rsidR="00FA638A" w:rsidRDefault="00340568">
            <w:pPr>
              <w:ind w:left="0" w:hanging="2"/>
              <w:jc w:val="both"/>
              <w:rPr>
                <w:rFonts w:ascii="Calibri" w:eastAsia="Calibri" w:hAnsi="Calibri" w:cs="Calibri"/>
                <w:sz w:val="22"/>
                <w:szCs w:val="22"/>
              </w:rPr>
            </w:pPr>
            <w:r>
              <w:rPr>
                <w:rFonts w:ascii="Calibri" w:eastAsia="Calibri" w:hAnsi="Calibri" w:cs="Calibri"/>
                <w:sz w:val="22"/>
                <w:szCs w:val="22"/>
              </w:rPr>
              <w:t xml:space="preserve">PEREIRA </w:t>
            </w:r>
          </w:p>
          <w:p w14:paraId="524F3FF9" w14:textId="473A99C5" w:rsidR="00340568" w:rsidRDefault="00340568">
            <w:pPr>
              <w:ind w:left="0" w:hanging="2"/>
              <w:jc w:val="both"/>
              <w:rPr>
                <w:rFonts w:ascii="Calibri" w:eastAsia="Calibri" w:hAnsi="Calibri" w:cs="Calibri"/>
                <w:sz w:val="22"/>
                <w:szCs w:val="22"/>
              </w:rPr>
            </w:pPr>
            <w:r>
              <w:rPr>
                <w:rFonts w:ascii="Calibri" w:eastAsia="Calibri" w:hAnsi="Calibri" w:cs="Calibri"/>
                <w:sz w:val="22"/>
                <w:szCs w:val="22"/>
              </w:rPr>
              <w:t>19/06/2026</w:t>
            </w:r>
          </w:p>
        </w:tc>
        <w:tc>
          <w:tcPr>
            <w:tcW w:w="9316" w:type="dxa"/>
            <w:gridSpan w:val="3"/>
          </w:tcPr>
          <w:p w14:paraId="455620C7" w14:textId="56733D98" w:rsidR="00FA638A" w:rsidRDefault="00D72C2D">
            <w:pPr>
              <w:ind w:left="0" w:hanging="2"/>
              <w:jc w:val="both"/>
              <w:rPr>
                <w:rFonts w:ascii="Calibri" w:eastAsia="Calibri" w:hAnsi="Calibri" w:cs="Calibri"/>
                <w:sz w:val="22"/>
                <w:szCs w:val="22"/>
              </w:rPr>
            </w:pPr>
            <w:r>
              <w:rPr>
                <w:noProof/>
              </w:rPr>
              <w:drawing>
                <wp:anchor distT="0" distB="0" distL="114300" distR="114300" simplePos="0" relativeHeight="251660288" behindDoc="0" locked="0" layoutInCell="1" hidden="0" allowOverlap="1" wp14:anchorId="49D3FE71" wp14:editId="65C11080">
                  <wp:simplePos x="0" y="0"/>
                  <wp:positionH relativeFrom="column">
                    <wp:posOffset>2141855</wp:posOffset>
                  </wp:positionH>
                  <wp:positionV relativeFrom="paragraph">
                    <wp:posOffset>151130</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5F157D42"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D72C2D">
              <w:rPr>
                <w:noProof/>
              </w:rPr>
              <w:t xml:space="preserve"> </w:t>
            </w:r>
          </w:p>
          <w:p w14:paraId="356DA51E" w14:textId="76867FEF"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29AA1F8F" w:rsidR="00FA638A" w:rsidRDefault="00AC1736">
            <w:pPr>
              <w:ind w:left="0" w:hanging="2"/>
              <w:jc w:val="both"/>
              <w:rPr>
                <w:rFonts w:ascii="Calibri" w:eastAsia="Calibri" w:hAnsi="Calibri" w:cs="Calibri"/>
                <w:sz w:val="22"/>
                <w:szCs w:val="22"/>
              </w:rPr>
            </w:pPr>
            <w:r w:rsidRPr="00AC1736">
              <w:rPr>
                <w:rFonts w:ascii="Calibri" w:eastAsia="Calibri" w:hAnsi="Calibri" w:cs="Calibri"/>
                <w:b/>
                <w:noProof/>
                <w:color w:val="000000"/>
                <w:sz w:val="22"/>
                <w:szCs w:val="22"/>
                <w:lang w:val="en-US" w:eastAsia="en-US"/>
              </w:rPr>
              <w:drawing>
                <wp:anchor distT="0" distB="0" distL="114300" distR="114300" simplePos="0" relativeHeight="251658240" behindDoc="0" locked="0" layoutInCell="1" allowOverlap="1" wp14:anchorId="00D0F9F5" wp14:editId="0D8119B8">
                  <wp:simplePos x="0" y="0"/>
                  <wp:positionH relativeFrom="column">
                    <wp:posOffset>1609090</wp:posOffset>
                  </wp:positionH>
                  <wp:positionV relativeFrom="paragraph">
                    <wp:posOffset>3175</wp:posOffset>
                  </wp:positionV>
                  <wp:extent cx="1209675" cy="464820"/>
                  <wp:effectExtent l="0" t="0" r="9525" b="0"/>
                  <wp:wrapSquare wrapText="bothSides"/>
                  <wp:docPr id="7" name="Imagen 7" descr="C:\Users\usuario\Desktop\WhatsApp Image 2026-06-22 at 2.15.34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usuario\Desktop\WhatsApp Image 2026-06-22 at 2.15.34 PM.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9675" cy="464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0558A6"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p>
          <w:p w14:paraId="3626A4A8" w14:textId="77777777" w:rsidR="00FA638A" w:rsidRDefault="00FA638A">
            <w:pPr>
              <w:ind w:left="0" w:hanging="2"/>
              <w:jc w:val="both"/>
              <w:rPr>
                <w:rFonts w:ascii="Calibri" w:eastAsia="Calibri" w:hAnsi="Calibri" w:cs="Calibri"/>
                <w:sz w:val="22"/>
                <w:szCs w:val="22"/>
              </w:rPr>
            </w:pPr>
          </w:p>
        </w:tc>
      </w:tr>
    </w:tbl>
    <w:p w14:paraId="70C1DECE" w14:textId="63840BAB"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0766E112" w:rsidR="00FA638A" w:rsidRDefault="00B4067F" w:rsidP="00AC1736">
      <w:pPr>
        <w:keepNext/>
        <w:numPr>
          <w:ilvl w:val="0"/>
          <w:numId w:val="2"/>
        </w:numPr>
        <w:pBdr>
          <w:top w:val="nil"/>
          <w:left w:val="nil"/>
          <w:bottom w:val="nil"/>
          <w:right w:val="nil"/>
          <w:between w:val="nil"/>
        </w:pBdr>
        <w:spacing w:line="240" w:lineRule="auto"/>
        <w:ind w:leftChars="0" w:firstLineChars="0"/>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713D04A0" w14:textId="77777777" w:rsidR="00AC1736" w:rsidRDefault="00AC1736" w:rsidP="00AC1736">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48777401" w:rsidR="00FA638A" w:rsidRDefault="00FA638A">
      <w:pPr>
        <w:ind w:left="0" w:hanging="2"/>
        <w:rPr>
          <w:rFonts w:ascii="Calibri" w:eastAsia="Calibri" w:hAnsi="Calibri" w:cs="Calibri"/>
          <w:sz w:val="22"/>
          <w:szCs w:val="22"/>
        </w:rPr>
      </w:pPr>
    </w:p>
    <w:sectPr w:rsidR="00FA638A">
      <w:headerReference w:type="default" r:id="rId11"/>
      <w:footerReference w:type="default" r:id="rId12"/>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E2527" w14:textId="77777777" w:rsidR="005B096F" w:rsidRDefault="005B096F">
      <w:pPr>
        <w:spacing w:line="240" w:lineRule="auto"/>
        <w:ind w:left="0" w:hanging="2"/>
      </w:pPr>
      <w:r>
        <w:separator/>
      </w:r>
    </w:p>
  </w:endnote>
  <w:endnote w:type="continuationSeparator" w:id="0">
    <w:p w14:paraId="52E585AF" w14:textId="77777777" w:rsidR="005B096F" w:rsidRDefault="005B096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4A8D1844"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325678">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325678">
      <w:rPr>
        <w:rFonts w:ascii="Arial" w:eastAsia="Arial" w:hAnsi="Arial" w:cs="Arial"/>
        <w:noProof/>
        <w:color w:val="000000"/>
        <w:sz w:val="18"/>
        <w:szCs w:val="18"/>
      </w:rPr>
      <w:t>5</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3B5AD" w14:textId="77777777" w:rsidR="005B096F" w:rsidRDefault="005B096F">
      <w:pPr>
        <w:spacing w:line="240" w:lineRule="auto"/>
        <w:ind w:left="0" w:hanging="2"/>
      </w:pPr>
      <w:r>
        <w:separator/>
      </w:r>
    </w:p>
  </w:footnote>
  <w:footnote w:type="continuationSeparator" w:id="0">
    <w:p w14:paraId="7653A20E" w14:textId="77777777" w:rsidR="005B096F" w:rsidRDefault="005B096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lang w:val="en-US" w:eastAsia="en-US"/>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lang w:val="en-US" w:eastAsia="en-US"/>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160E4FCD"/>
    <w:multiLevelType w:val="multilevel"/>
    <w:tmpl w:val="66089F7C"/>
    <w:lvl w:ilvl="0">
      <w:start w:val="1"/>
      <w:numFmt w:val="bullet"/>
      <w:lvlText w:val="•"/>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5" w15:restartNumberingAfterBreak="0">
    <w:nsid w:val="388203E0"/>
    <w:multiLevelType w:val="multilevel"/>
    <w:tmpl w:val="B236732C"/>
    <w:lvl w:ilvl="0">
      <w:start w:val="1"/>
      <w:numFmt w:val="bullet"/>
      <w:lvlText w:val="•"/>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6302198D"/>
    <w:multiLevelType w:val="multilevel"/>
    <w:tmpl w:val="E586D46E"/>
    <w:lvl w:ilvl="0">
      <w:start w:val="1"/>
      <w:numFmt w:val="bullet"/>
      <w:lvlText w:val="•"/>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85953539">
    <w:abstractNumId w:val="6"/>
  </w:num>
  <w:num w:numId="2" w16cid:durableId="985740979">
    <w:abstractNumId w:val="3"/>
  </w:num>
  <w:num w:numId="3" w16cid:durableId="126975959">
    <w:abstractNumId w:val="1"/>
  </w:num>
  <w:num w:numId="4" w16cid:durableId="381905228">
    <w:abstractNumId w:val="0"/>
  </w:num>
  <w:num w:numId="5" w16cid:durableId="1276444831">
    <w:abstractNumId w:val="4"/>
  </w:num>
  <w:num w:numId="6" w16cid:durableId="14231825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417348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839039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6EF6"/>
    <w:rsid w:val="0000794A"/>
    <w:rsid w:val="000141CE"/>
    <w:rsid w:val="0001769F"/>
    <w:rsid w:val="0004502C"/>
    <w:rsid w:val="00045542"/>
    <w:rsid w:val="00081A2E"/>
    <w:rsid w:val="00091116"/>
    <w:rsid w:val="000A27C9"/>
    <w:rsid w:val="000A665C"/>
    <w:rsid w:val="001134AB"/>
    <w:rsid w:val="00144CE2"/>
    <w:rsid w:val="0015492D"/>
    <w:rsid w:val="00172C62"/>
    <w:rsid w:val="00187F57"/>
    <w:rsid w:val="001D5E0D"/>
    <w:rsid w:val="001E1200"/>
    <w:rsid w:val="00201131"/>
    <w:rsid w:val="00204798"/>
    <w:rsid w:val="00217B8F"/>
    <w:rsid w:val="00223082"/>
    <w:rsid w:val="0027289C"/>
    <w:rsid w:val="002A0F4E"/>
    <w:rsid w:val="002A3942"/>
    <w:rsid w:val="002C0509"/>
    <w:rsid w:val="002C6562"/>
    <w:rsid w:val="002D088B"/>
    <w:rsid w:val="002D1AF1"/>
    <w:rsid w:val="003077CE"/>
    <w:rsid w:val="00325678"/>
    <w:rsid w:val="00331ED7"/>
    <w:rsid w:val="00340568"/>
    <w:rsid w:val="00367D62"/>
    <w:rsid w:val="00390196"/>
    <w:rsid w:val="003D288C"/>
    <w:rsid w:val="003E5502"/>
    <w:rsid w:val="00404972"/>
    <w:rsid w:val="00425BA5"/>
    <w:rsid w:val="00462BB0"/>
    <w:rsid w:val="0046407C"/>
    <w:rsid w:val="00472885"/>
    <w:rsid w:val="004F01DC"/>
    <w:rsid w:val="00502024"/>
    <w:rsid w:val="005431E4"/>
    <w:rsid w:val="00555497"/>
    <w:rsid w:val="00571FF4"/>
    <w:rsid w:val="005A5C30"/>
    <w:rsid w:val="005B096F"/>
    <w:rsid w:val="005B270C"/>
    <w:rsid w:val="005B2DBF"/>
    <w:rsid w:val="005D0A1C"/>
    <w:rsid w:val="005E38D9"/>
    <w:rsid w:val="005E3B75"/>
    <w:rsid w:val="005F039C"/>
    <w:rsid w:val="00602598"/>
    <w:rsid w:val="006032C8"/>
    <w:rsid w:val="00634DE0"/>
    <w:rsid w:val="0064312A"/>
    <w:rsid w:val="00654270"/>
    <w:rsid w:val="0066073A"/>
    <w:rsid w:val="00661C5C"/>
    <w:rsid w:val="006739A5"/>
    <w:rsid w:val="006B399B"/>
    <w:rsid w:val="006B7DE3"/>
    <w:rsid w:val="006D2ACD"/>
    <w:rsid w:val="006D76D3"/>
    <w:rsid w:val="00735583"/>
    <w:rsid w:val="007472E9"/>
    <w:rsid w:val="007D40E1"/>
    <w:rsid w:val="007F5DA3"/>
    <w:rsid w:val="007F6818"/>
    <w:rsid w:val="0080524E"/>
    <w:rsid w:val="00821069"/>
    <w:rsid w:val="00844F05"/>
    <w:rsid w:val="0084747F"/>
    <w:rsid w:val="00861610"/>
    <w:rsid w:val="008862B6"/>
    <w:rsid w:val="008A0B3D"/>
    <w:rsid w:val="008D451E"/>
    <w:rsid w:val="008D6F42"/>
    <w:rsid w:val="008F3DFB"/>
    <w:rsid w:val="008F6690"/>
    <w:rsid w:val="00960F86"/>
    <w:rsid w:val="00991AD9"/>
    <w:rsid w:val="009A40A9"/>
    <w:rsid w:val="009D0743"/>
    <w:rsid w:val="009F1521"/>
    <w:rsid w:val="00A046F7"/>
    <w:rsid w:val="00A15B8A"/>
    <w:rsid w:val="00A34721"/>
    <w:rsid w:val="00A36127"/>
    <w:rsid w:val="00A547EE"/>
    <w:rsid w:val="00A5613E"/>
    <w:rsid w:val="00A70A39"/>
    <w:rsid w:val="00A75BCE"/>
    <w:rsid w:val="00A87F7F"/>
    <w:rsid w:val="00A93ACA"/>
    <w:rsid w:val="00AC1736"/>
    <w:rsid w:val="00AC7B99"/>
    <w:rsid w:val="00B035B6"/>
    <w:rsid w:val="00B126A0"/>
    <w:rsid w:val="00B12767"/>
    <w:rsid w:val="00B26892"/>
    <w:rsid w:val="00B4067F"/>
    <w:rsid w:val="00B448E5"/>
    <w:rsid w:val="00B46095"/>
    <w:rsid w:val="00B61D7E"/>
    <w:rsid w:val="00B6358E"/>
    <w:rsid w:val="00B66A39"/>
    <w:rsid w:val="00B67506"/>
    <w:rsid w:val="00B9560D"/>
    <w:rsid w:val="00BB1707"/>
    <w:rsid w:val="00BC056A"/>
    <w:rsid w:val="00BE67C0"/>
    <w:rsid w:val="00BE7B39"/>
    <w:rsid w:val="00C07DBC"/>
    <w:rsid w:val="00C34906"/>
    <w:rsid w:val="00C84A0A"/>
    <w:rsid w:val="00C85DF1"/>
    <w:rsid w:val="00C9687B"/>
    <w:rsid w:val="00CD03AE"/>
    <w:rsid w:val="00CE10BE"/>
    <w:rsid w:val="00CE16FC"/>
    <w:rsid w:val="00D21E27"/>
    <w:rsid w:val="00D2395D"/>
    <w:rsid w:val="00D34943"/>
    <w:rsid w:val="00D43F48"/>
    <w:rsid w:val="00D6024C"/>
    <w:rsid w:val="00D64CB7"/>
    <w:rsid w:val="00D72C2D"/>
    <w:rsid w:val="00DC3C35"/>
    <w:rsid w:val="00DC4F14"/>
    <w:rsid w:val="00DE276E"/>
    <w:rsid w:val="00DE2EAB"/>
    <w:rsid w:val="00E125EB"/>
    <w:rsid w:val="00E179B2"/>
    <w:rsid w:val="00E6567C"/>
    <w:rsid w:val="00E67955"/>
    <w:rsid w:val="00E72DB1"/>
    <w:rsid w:val="00E77022"/>
    <w:rsid w:val="00E77DFB"/>
    <w:rsid w:val="00E82751"/>
    <w:rsid w:val="00EA2AA7"/>
    <w:rsid w:val="00EB49C4"/>
    <w:rsid w:val="00F84189"/>
    <w:rsid w:val="00FA6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customStyle="1" w:styleId="Mencinsinresolver1">
    <w:name w:val="Mención sin resolver1"/>
    <w:basedOn w:val="Fuentedeprrafopredeter"/>
    <w:uiPriority w:val="99"/>
    <w:semiHidden/>
    <w:unhideWhenUsed/>
    <w:rsid w:val="00D21E27"/>
    <w:rPr>
      <w:color w:val="605E5C"/>
      <w:shd w:val="clear" w:color="auto" w:fill="E1DFDD"/>
    </w:rPr>
  </w:style>
  <w:style w:type="paragraph" w:customStyle="1" w:styleId="Prrafodelista1">
    <w:name w:val="Párrafo de lista1"/>
    <w:basedOn w:val="Normal"/>
    <w:rsid w:val="0001769F"/>
    <w:pPr>
      <w:spacing w:before="100" w:beforeAutospacing="1" w:after="100" w:afterAutospacing="1" w:line="240" w:lineRule="atLeast"/>
      <w:ind w:leftChars="0" w:left="0" w:firstLineChars="0" w:firstLine="0"/>
      <w:textDirection w:val="lrTb"/>
    </w:pPr>
    <w:rPr>
      <w:position w:val="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50432">
      <w:bodyDiv w:val="1"/>
      <w:marLeft w:val="0"/>
      <w:marRight w:val="0"/>
      <w:marTop w:val="0"/>
      <w:marBottom w:val="0"/>
      <w:divBdr>
        <w:top w:val="none" w:sz="0" w:space="0" w:color="auto"/>
        <w:left w:val="none" w:sz="0" w:space="0" w:color="auto"/>
        <w:bottom w:val="none" w:sz="0" w:space="0" w:color="auto"/>
        <w:right w:val="none" w:sz="0" w:space="0" w:color="auto"/>
      </w:divBdr>
    </w:div>
    <w:div w:id="431511625">
      <w:bodyDiv w:val="1"/>
      <w:marLeft w:val="0"/>
      <w:marRight w:val="0"/>
      <w:marTop w:val="0"/>
      <w:marBottom w:val="0"/>
      <w:divBdr>
        <w:top w:val="none" w:sz="0" w:space="0" w:color="auto"/>
        <w:left w:val="none" w:sz="0" w:space="0" w:color="auto"/>
        <w:bottom w:val="none" w:sz="0" w:space="0" w:color="auto"/>
        <w:right w:val="none" w:sz="0" w:space="0" w:color="auto"/>
      </w:divBdr>
    </w:div>
    <w:div w:id="724136032">
      <w:bodyDiv w:val="1"/>
      <w:marLeft w:val="0"/>
      <w:marRight w:val="0"/>
      <w:marTop w:val="0"/>
      <w:marBottom w:val="0"/>
      <w:divBdr>
        <w:top w:val="none" w:sz="0" w:space="0" w:color="auto"/>
        <w:left w:val="none" w:sz="0" w:space="0" w:color="auto"/>
        <w:bottom w:val="none" w:sz="0" w:space="0" w:color="auto"/>
        <w:right w:val="none" w:sz="0" w:space="0" w:color="auto"/>
      </w:divBdr>
    </w:div>
    <w:div w:id="786772957">
      <w:bodyDiv w:val="1"/>
      <w:marLeft w:val="0"/>
      <w:marRight w:val="0"/>
      <w:marTop w:val="0"/>
      <w:marBottom w:val="0"/>
      <w:divBdr>
        <w:top w:val="none" w:sz="0" w:space="0" w:color="auto"/>
        <w:left w:val="none" w:sz="0" w:space="0" w:color="auto"/>
        <w:bottom w:val="none" w:sz="0" w:space="0" w:color="auto"/>
        <w:right w:val="none" w:sz="0" w:space="0" w:color="auto"/>
      </w:divBdr>
    </w:div>
    <w:div w:id="1359157730">
      <w:bodyDiv w:val="1"/>
      <w:marLeft w:val="0"/>
      <w:marRight w:val="0"/>
      <w:marTop w:val="0"/>
      <w:marBottom w:val="0"/>
      <w:divBdr>
        <w:top w:val="none" w:sz="0" w:space="0" w:color="auto"/>
        <w:left w:val="none" w:sz="0" w:space="0" w:color="auto"/>
        <w:bottom w:val="none" w:sz="0" w:space="0" w:color="auto"/>
        <w:right w:val="none" w:sz="0" w:space="0" w:color="auto"/>
      </w:divBdr>
    </w:div>
    <w:div w:id="1767069141">
      <w:bodyDiv w:val="1"/>
      <w:marLeft w:val="0"/>
      <w:marRight w:val="0"/>
      <w:marTop w:val="0"/>
      <w:marBottom w:val="0"/>
      <w:divBdr>
        <w:top w:val="none" w:sz="0" w:space="0" w:color="auto"/>
        <w:left w:val="none" w:sz="0" w:space="0" w:color="auto"/>
        <w:bottom w:val="none" w:sz="0" w:space="0" w:color="auto"/>
        <w:right w:val="none" w:sz="0" w:space="0" w:color="auto"/>
      </w:divBdr>
    </w:div>
    <w:div w:id="2014256670">
      <w:bodyDiv w:val="1"/>
      <w:marLeft w:val="0"/>
      <w:marRight w:val="0"/>
      <w:marTop w:val="0"/>
      <w:marBottom w:val="0"/>
      <w:divBdr>
        <w:top w:val="none" w:sz="0" w:space="0" w:color="auto"/>
        <w:left w:val="none" w:sz="0" w:space="0" w:color="auto"/>
        <w:bottom w:val="none" w:sz="0" w:space="0" w:color="auto"/>
        <w:right w:val="none" w:sz="0" w:space="0" w:color="auto"/>
      </w:divBdr>
    </w:div>
    <w:div w:id="2045595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Props1.xml><?xml version="1.0" encoding="utf-8"?>
<ds:datastoreItem xmlns:ds="http://schemas.openxmlformats.org/officeDocument/2006/customXml" ds:itemID="{3760E5E4-5C84-493F-8E92-25B677B8370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1966</Words>
  <Characters>10817</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4</cp:revision>
  <dcterms:created xsi:type="dcterms:W3CDTF">2026-06-22T19:20:00Z</dcterms:created>
  <dcterms:modified xsi:type="dcterms:W3CDTF">2026-06-30T00:04:00Z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-481522382</vt:i4>
  </property>
</Properties>
</file>